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08" w:rsidRPr="00500D4E" w:rsidRDefault="00C21C00" w:rsidP="00FD1944">
      <w:pPr>
        <w:jc w:val="center"/>
        <w:rPr>
          <w:b/>
          <w:color w:val="0432FF"/>
          <w:sz w:val="44"/>
        </w:rPr>
      </w:pPr>
      <w:bookmarkStart w:id="0" w:name="_GoBack"/>
      <w:bookmarkEnd w:id="0"/>
      <w:r w:rsidRPr="00500D4E">
        <w:rPr>
          <w:b/>
          <w:color w:val="0432FF"/>
          <w:sz w:val="44"/>
        </w:rPr>
        <w:t>Client Records</w:t>
      </w:r>
    </w:p>
    <w:p w:rsidR="00B80AE6" w:rsidRDefault="00B80AE6" w:rsidP="00E152D0">
      <w:pPr>
        <w:jc w:val="center"/>
        <w:rPr>
          <w:i/>
        </w:rPr>
      </w:pPr>
    </w:p>
    <w:p w:rsidR="00B80AE6" w:rsidRDefault="00B80AE6" w:rsidP="00B80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i/>
          <w:szCs w:val="30"/>
        </w:rPr>
      </w:pPr>
      <w:r>
        <w:rPr>
          <w:rFonts w:ascii="Arial" w:hAnsi="Arial" w:cs="Arial"/>
          <w:i/>
          <w:szCs w:val="30"/>
        </w:rPr>
        <w:t>Case Study</w:t>
      </w:r>
    </w:p>
    <w:p w:rsidR="00B80AE6" w:rsidRDefault="00B80AE6" w:rsidP="00B80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i/>
          <w:szCs w:val="30"/>
        </w:rPr>
      </w:pPr>
    </w:p>
    <w:p w:rsidR="00B80AE6" w:rsidRDefault="00B80AE6" w:rsidP="00B80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i/>
          <w:szCs w:val="30"/>
        </w:rPr>
      </w:pPr>
      <w:r>
        <w:rPr>
          <w:rFonts w:ascii="Arial" w:hAnsi="Arial" w:cs="Arial"/>
          <w:i/>
          <w:szCs w:val="30"/>
        </w:rPr>
        <w:tab/>
        <w:t>Rory and his wife had been seeing Seth Hunter, a licensed marriage and family therapist. The couple has since separated and both members of the couple desire to begin treatment with a new provider. They provide a written request to Seth, asking for copies of their psychotherapy notes. Seth responds to the couple in writing, stating that he believes that this would be detrimental to them but states that he would be willing to forward the notes to their new treatment provider. Is this legal and ethical?</w:t>
      </w:r>
    </w:p>
    <w:p w:rsidR="00B80AE6" w:rsidRDefault="00B80AE6" w:rsidP="00E152D0">
      <w:pPr>
        <w:jc w:val="center"/>
        <w:rPr>
          <w:i/>
        </w:rPr>
      </w:pPr>
    </w:p>
    <w:p w:rsidR="00B80AE6" w:rsidRDefault="00B80AE6" w:rsidP="00E152D0">
      <w:pPr>
        <w:jc w:val="center"/>
        <w:rPr>
          <w:i/>
        </w:rPr>
      </w:pPr>
    </w:p>
    <w:p w:rsidR="00B80AE6" w:rsidRDefault="00B80AE6" w:rsidP="00E152D0">
      <w:pPr>
        <w:jc w:val="center"/>
        <w:rPr>
          <w:i/>
        </w:rPr>
      </w:pPr>
    </w:p>
    <w:p w:rsidR="00B80AE6" w:rsidRDefault="00B80AE6" w:rsidP="00E152D0">
      <w:pPr>
        <w:jc w:val="center"/>
        <w:rPr>
          <w:i/>
        </w:rPr>
      </w:pPr>
    </w:p>
    <w:p w:rsidR="00C21C00" w:rsidRDefault="00E152D0" w:rsidP="00E152D0">
      <w:pPr>
        <w:jc w:val="center"/>
        <w:rPr>
          <w:i/>
        </w:rPr>
      </w:pPr>
      <w:r>
        <w:rPr>
          <w:i/>
        </w:rPr>
        <w:t>Excerpts from various legal documents that govern our practice</w:t>
      </w:r>
      <w:r w:rsidR="00C61F11">
        <w:rPr>
          <w:i/>
        </w:rPr>
        <w:t xml:space="preserve"> as an example of the need for practitioners to review ALL legislation affecting our practice, not just 491 and 64B4</w:t>
      </w:r>
      <w:r>
        <w:rPr>
          <w:i/>
        </w:rPr>
        <w:t>.</w:t>
      </w:r>
    </w:p>
    <w:p w:rsidR="00C61F11" w:rsidRDefault="00C61F11" w:rsidP="00E152D0">
      <w:pPr>
        <w:jc w:val="center"/>
        <w:rPr>
          <w:i/>
        </w:rPr>
      </w:pPr>
    </w:p>
    <w:p w:rsidR="00E152D0" w:rsidRPr="00E152D0" w:rsidRDefault="00E152D0" w:rsidP="00E152D0">
      <w:pPr>
        <w:jc w:val="center"/>
        <w:rPr>
          <w:i/>
        </w:rPr>
      </w:pPr>
    </w:p>
    <w:p w:rsidR="00C21C00" w:rsidRPr="00433A89" w:rsidRDefault="00C21C00" w:rsidP="00433A89">
      <w:pPr>
        <w:jc w:val="center"/>
        <w:rPr>
          <w:b/>
          <w:sz w:val="28"/>
        </w:rPr>
      </w:pPr>
      <w:r w:rsidRPr="00FD1944">
        <w:rPr>
          <w:b/>
          <w:sz w:val="28"/>
        </w:rPr>
        <w:t>Florida Statute Chapter 491</w:t>
      </w:r>
      <w:r w:rsidR="00433A89">
        <w:rPr>
          <w:b/>
          <w:sz w:val="28"/>
        </w:rPr>
        <w:t>: Clinical, Counseling, and Psychotherapy Records</w:t>
      </w:r>
    </w:p>
    <w:p w:rsidR="007E6508" w:rsidRDefault="007E6508"/>
    <w:p w:rsidR="007E6508" w:rsidRPr="001341E8" w:rsidRDefault="007E6508" w:rsidP="007E6508">
      <w:pPr>
        <w:shd w:val="clear" w:color="auto" w:fill="FFF2CC" w:themeFill="accent4" w:themeFillTint="33"/>
        <w:ind w:firstLine="240"/>
        <w:rPr>
          <w:rFonts w:ascii="Arial Narrow" w:hAnsi="Arial Narrow"/>
          <w:color w:val="000000" w:themeColor="text1"/>
          <w:sz w:val="20"/>
          <w:szCs w:val="20"/>
        </w:rPr>
      </w:pPr>
      <w:r w:rsidRPr="001341E8">
        <w:rPr>
          <w:rFonts w:ascii="Arial Narrow" w:hAnsi="Arial Narrow"/>
          <w:b/>
          <w:bCs/>
          <w:color w:val="000000" w:themeColor="text1"/>
          <w:sz w:val="20"/>
          <w:szCs w:val="20"/>
          <w:highlight w:val="yellow"/>
        </w:rPr>
        <w:t>491.0147</w:t>
      </w:r>
      <w:r w:rsidRPr="001341E8">
        <w:rPr>
          <w:rFonts w:ascii="Arial Narrow" w:hAnsi="Arial Narrow"/>
          <w:b/>
          <w:bCs/>
          <w:color w:val="000000" w:themeColor="text1"/>
          <w:sz w:val="20"/>
          <w:szCs w:val="20"/>
          <w:highlight w:val="yellow"/>
        </w:rPr>
        <w:t> </w:t>
      </w:r>
      <w:r w:rsidRPr="001341E8">
        <w:rPr>
          <w:rFonts w:ascii="Arial Narrow" w:hAnsi="Arial Narrow"/>
          <w:b/>
          <w:bCs/>
          <w:color w:val="000000" w:themeColor="text1"/>
          <w:sz w:val="20"/>
          <w:szCs w:val="20"/>
          <w:highlight w:val="yellow"/>
        </w:rPr>
        <w:t>Confidentiality and privileged communications</w:t>
      </w:r>
      <w:r w:rsidRPr="001341E8">
        <w:rPr>
          <w:rFonts w:ascii="Arial Narrow" w:hAnsi="Arial Narrow"/>
          <w:bCs/>
          <w:color w:val="000000" w:themeColor="text1"/>
          <w:sz w:val="20"/>
          <w:szCs w:val="20"/>
        </w:rPr>
        <w:t>.</w:t>
      </w:r>
      <w:r w:rsidRPr="001341E8">
        <w:rPr>
          <w:rFonts w:ascii="Arial Narrow" w:hAnsi="Arial Narrow"/>
          <w:color w:val="000000" w:themeColor="text1"/>
          <w:sz w:val="20"/>
          <w:szCs w:val="20"/>
        </w:rPr>
        <w:t>—Any communication between any person licensed or certified under this chapter and her or his patient or client shall be confidential. This secrecy may be waived under the following conditions:</w:t>
      </w:r>
    </w:p>
    <w:p w:rsidR="007E6508" w:rsidRPr="001341E8" w:rsidRDefault="007E6508" w:rsidP="007E6508">
      <w:pPr>
        <w:shd w:val="clear" w:color="auto" w:fill="FFF2CC" w:themeFill="accent4" w:themeFillTint="33"/>
        <w:ind w:firstLine="240"/>
        <w:rPr>
          <w:rFonts w:ascii="Arial Narrow" w:hAnsi="Arial Narrow"/>
          <w:color w:val="000000" w:themeColor="text1"/>
          <w:sz w:val="20"/>
          <w:szCs w:val="20"/>
        </w:rPr>
      </w:pPr>
      <w:r w:rsidRPr="001341E8">
        <w:rPr>
          <w:rFonts w:ascii="Arial Narrow" w:hAnsi="Arial Narrow"/>
          <w:color w:val="000000" w:themeColor="text1"/>
          <w:sz w:val="20"/>
          <w:szCs w:val="20"/>
        </w:rPr>
        <w:t>(1)</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When the person licensed or certified under this chapter is a party defendant to a civil, criminal, or disciplinary action arising from a complaint filed by the patient or client, in which case the waiver shall be limited to that action.</w:t>
      </w:r>
    </w:p>
    <w:p w:rsidR="007E6508" w:rsidRPr="001341E8" w:rsidRDefault="007E6508" w:rsidP="007E6508">
      <w:pPr>
        <w:shd w:val="clear" w:color="auto" w:fill="FFF2CC" w:themeFill="accent4" w:themeFillTint="33"/>
        <w:ind w:firstLine="240"/>
        <w:rPr>
          <w:rFonts w:ascii="Arial Narrow" w:hAnsi="Arial Narrow"/>
          <w:color w:val="000000" w:themeColor="text1"/>
          <w:sz w:val="20"/>
          <w:szCs w:val="20"/>
        </w:rPr>
      </w:pPr>
      <w:r w:rsidRPr="001341E8">
        <w:rPr>
          <w:rFonts w:ascii="Arial Narrow" w:hAnsi="Arial Narrow"/>
          <w:color w:val="000000" w:themeColor="text1"/>
          <w:sz w:val="20"/>
          <w:szCs w:val="20"/>
        </w:rPr>
        <w:t>(2)</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When the patient or client agrees to the waiver, in writing, or, when more than one person in a family is receiving therapy, when each family member agrees to the waiver, in writing.</w:t>
      </w:r>
    </w:p>
    <w:p w:rsidR="007E6508" w:rsidRPr="001341E8" w:rsidRDefault="007E6508" w:rsidP="007E6508">
      <w:pPr>
        <w:shd w:val="clear" w:color="auto" w:fill="FFF2CC" w:themeFill="accent4" w:themeFillTint="33"/>
        <w:ind w:firstLine="240"/>
        <w:rPr>
          <w:rFonts w:ascii="Arial Narrow" w:hAnsi="Arial Narrow"/>
          <w:color w:val="000000" w:themeColor="text1"/>
          <w:sz w:val="20"/>
          <w:szCs w:val="20"/>
        </w:rPr>
      </w:pPr>
      <w:r w:rsidRPr="001341E8">
        <w:rPr>
          <w:rFonts w:ascii="Arial Narrow" w:hAnsi="Arial Narrow"/>
          <w:color w:val="000000" w:themeColor="text1"/>
          <w:sz w:val="20"/>
          <w:szCs w:val="20"/>
        </w:rPr>
        <w:t>(3)</w:t>
      </w:r>
      <w:r w:rsidRPr="001341E8">
        <w:rPr>
          <w:rFonts w:ascii="Arial Narrow" w:hAnsi="Arial Narrow"/>
          <w:color w:val="000000" w:themeColor="text1"/>
          <w:sz w:val="20"/>
          <w:szCs w:val="20"/>
        </w:rPr>
        <w:t> </w:t>
      </w:r>
      <w:r w:rsidRPr="001341E8">
        <w:rPr>
          <w:rFonts w:ascii="Arial Narrow" w:hAnsi="Arial Narrow"/>
          <w:color w:val="000000" w:themeColor="text1"/>
          <w:sz w:val="20"/>
          <w:szCs w:val="20"/>
        </w:rPr>
        <w:t xml:space="preserve">When, in the </w:t>
      </w:r>
      <w:r w:rsidRPr="009B3A26">
        <w:rPr>
          <w:rFonts w:ascii="Arial Narrow" w:hAnsi="Arial Narrow"/>
          <w:color w:val="000000" w:themeColor="text1"/>
          <w:sz w:val="20"/>
          <w:szCs w:val="20"/>
          <w:highlight w:val="yellow"/>
        </w:rPr>
        <w:t>clinical judgment</w:t>
      </w:r>
      <w:r w:rsidRPr="001341E8">
        <w:rPr>
          <w:rFonts w:ascii="Arial Narrow" w:hAnsi="Arial Narrow"/>
          <w:color w:val="000000" w:themeColor="text1"/>
          <w:sz w:val="20"/>
          <w:szCs w:val="20"/>
        </w:rPr>
        <w:t xml:space="preserve"> of the person licensed or certified under this chapter, there is a </w:t>
      </w:r>
      <w:r w:rsidRPr="007E6508">
        <w:rPr>
          <w:rFonts w:ascii="Arial Narrow" w:hAnsi="Arial Narrow"/>
          <w:color w:val="000000" w:themeColor="text1"/>
          <w:sz w:val="20"/>
          <w:szCs w:val="20"/>
          <w:highlight w:val="yellow"/>
        </w:rPr>
        <w:t>clear and immediate</w:t>
      </w:r>
      <w:r w:rsidRPr="001341E8">
        <w:rPr>
          <w:rFonts w:ascii="Arial Narrow" w:hAnsi="Arial Narrow"/>
          <w:color w:val="000000" w:themeColor="text1"/>
          <w:sz w:val="20"/>
          <w:szCs w:val="20"/>
        </w:rPr>
        <w:t xml:space="preserve"> probability of physical harm to the patient or client, to other individuals, or to society and the person licensed or certified under this chapter communicates the information only to the potential victim, appropriate family member, or law enforcement or other appropriate authorities. There shall be no liability on the part of, and no cause of action of any nature shall arise against, a person licensed or certified under this chapter for the disclosure of otherwise confidential communications under this subsection.</w:t>
      </w:r>
    </w:p>
    <w:p w:rsidR="007E6508" w:rsidRPr="001341E8" w:rsidRDefault="007E6508" w:rsidP="007E6508">
      <w:pPr>
        <w:shd w:val="clear" w:color="auto" w:fill="FFF2CC" w:themeFill="accent4" w:themeFillTint="33"/>
        <w:ind w:firstLine="240"/>
        <w:rPr>
          <w:rFonts w:ascii="Arial Narrow" w:hAnsi="Arial Narrow"/>
          <w:color w:val="000000" w:themeColor="text1"/>
          <w:sz w:val="20"/>
          <w:szCs w:val="20"/>
        </w:rPr>
      </w:pPr>
      <w:r w:rsidRPr="001341E8">
        <w:rPr>
          <w:rFonts w:ascii="Arial Narrow" w:hAnsi="Arial Narrow"/>
          <w:bCs/>
          <w:color w:val="000000" w:themeColor="text1"/>
          <w:sz w:val="20"/>
          <w:szCs w:val="20"/>
        </w:rPr>
        <w:t>History.</w:t>
      </w:r>
      <w:r w:rsidRPr="001341E8">
        <w:rPr>
          <w:rFonts w:ascii="Arial Narrow" w:hAnsi="Arial Narrow"/>
          <w:color w:val="000000" w:themeColor="text1"/>
          <w:sz w:val="20"/>
          <w:szCs w:val="20"/>
        </w:rPr>
        <w:t>—ss. 15, 19, ch. 87-252; ss. 19, 20, ch. 90-263; s. 4, ch. 91-429; s. 515, ch. 97-103; s. 1, ch. 2009-103.</w:t>
      </w:r>
    </w:p>
    <w:p w:rsidR="007E6508" w:rsidRDefault="007E6508"/>
    <w:p w:rsidR="00C21C00" w:rsidRPr="004D1B8F" w:rsidRDefault="00C21C00" w:rsidP="00C21C00">
      <w:pPr>
        <w:shd w:val="clear" w:color="auto" w:fill="FFF2CC" w:themeFill="accent4" w:themeFillTint="33"/>
        <w:ind w:firstLine="240"/>
        <w:rPr>
          <w:rFonts w:ascii="Arial Narrow" w:hAnsi="Arial Narrow"/>
          <w:color w:val="000000" w:themeColor="text1"/>
          <w:sz w:val="20"/>
          <w:szCs w:val="20"/>
        </w:rPr>
      </w:pPr>
      <w:r w:rsidRPr="004D1B8F">
        <w:rPr>
          <w:rFonts w:ascii="Arial Narrow" w:hAnsi="Arial Narrow"/>
          <w:b/>
          <w:bCs/>
          <w:color w:val="000000" w:themeColor="text1"/>
          <w:sz w:val="20"/>
          <w:szCs w:val="20"/>
          <w:highlight w:val="yellow"/>
        </w:rPr>
        <w:t>491.0148</w:t>
      </w:r>
      <w:r w:rsidRPr="004D1B8F">
        <w:rPr>
          <w:rFonts w:ascii="Arial Narrow" w:hAnsi="Arial Narrow"/>
          <w:b/>
          <w:bCs/>
          <w:color w:val="000000" w:themeColor="text1"/>
          <w:sz w:val="20"/>
          <w:szCs w:val="20"/>
          <w:highlight w:val="yellow"/>
        </w:rPr>
        <w:t> </w:t>
      </w:r>
      <w:r w:rsidRPr="004D1B8F">
        <w:rPr>
          <w:rFonts w:ascii="Arial Narrow" w:hAnsi="Arial Narrow"/>
          <w:b/>
          <w:bCs/>
          <w:color w:val="000000" w:themeColor="text1"/>
          <w:sz w:val="20"/>
          <w:szCs w:val="20"/>
          <w:highlight w:val="yellow"/>
        </w:rPr>
        <w:t>Records</w:t>
      </w:r>
      <w:r w:rsidRPr="004D1B8F">
        <w:rPr>
          <w:rFonts w:ascii="Arial Narrow" w:hAnsi="Arial Narrow"/>
          <w:bCs/>
          <w:color w:val="000000" w:themeColor="text1"/>
          <w:sz w:val="20"/>
          <w:szCs w:val="20"/>
        </w:rPr>
        <w:t>.</w:t>
      </w:r>
      <w:r w:rsidRPr="004D1B8F">
        <w:rPr>
          <w:rFonts w:ascii="Arial Narrow" w:hAnsi="Arial Narrow"/>
          <w:color w:val="000000" w:themeColor="text1"/>
          <w:sz w:val="20"/>
          <w:szCs w:val="20"/>
        </w:rPr>
        <w:t>—Each psychotherapist who provides services as defined in this chapter shall maintain records. The board may adopt rules defining the minimum requirements for records and reports, including content, length of time records shall be maintained, and transfer of either the records or a report of such records to a subsequent treating practitioner or other individual with written consent of the client or clients.</w:t>
      </w:r>
    </w:p>
    <w:p w:rsidR="00C21C00" w:rsidRPr="004D1B8F" w:rsidRDefault="00C21C00" w:rsidP="00C21C00">
      <w:pPr>
        <w:shd w:val="clear" w:color="auto" w:fill="FFF2CC" w:themeFill="accent4" w:themeFillTint="33"/>
        <w:ind w:firstLine="240"/>
        <w:rPr>
          <w:rFonts w:ascii="Arial Narrow" w:hAnsi="Arial Narrow"/>
          <w:color w:val="000000" w:themeColor="text1"/>
          <w:sz w:val="20"/>
          <w:szCs w:val="20"/>
        </w:rPr>
      </w:pPr>
      <w:r w:rsidRPr="004D1B8F">
        <w:rPr>
          <w:rFonts w:ascii="Arial Narrow" w:hAnsi="Arial Narrow"/>
          <w:bCs/>
          <w:color w:val="000000" w:themeColor="text1"/>
          <w:sz w:val="20"/>
          <w:szCs w:val="20"/>
        </w:rPr>
        <w:t>History.</w:t>
      </w:r>
      <w:r w:rsidRPr="004D1B8F">
        <w:rPr>
          <w:rFonts w:ascii="Arial Narrow" w:hAnsi="Arial Narrow"/>
          <w:color w:val="000000" w:themeColor="text1"/>
          <w:sz w:val="20"/>
          <w:szCs w:val="20"/>
        </w:rPr>
        <w:t>—ss. 13, 20, ch. 90-263; s. 4, ch. 91-429.</w:t>
      </w:r>
    </w:p>
    <w:p w:rsidR="00C21C00" w:rsidRDefault="00C21C00"/>
    <w:p w:rsidR="00C21C00" w:rsidRDefault="00C21C00" w:rsidP="00C21C00">
      <w:pPr>
        <w:widowControl w:val="0"/>
        <w:spacing w:line="260" w:lineRule="atLeast"/>
        <w:jc w:val="center"/>
        <w:outlineLvl w:val="0"/>
        <w:rPr>
          <w:b/>
          <w:sz w:val="28"/>
          <w:szCs w:val="20"/>
        </w:rPr>
      </w:pPr>
      <w:r w:rsidRPr="00FD1944">
        <w:rPr>
          <w:b/>
          <w:sz w:val="28"/>
          <w:szCs w:val="20"/>
        </w:rPr>
        <w:t xml:space="preserve">Florida Administrative Code Chapter 64B4 </w:t>
      </w:r>
    </w:p>
    <w:p w:rsidR="00433A89" w:rsidRPr="00433A89" w:rsidRDefault="00433A89" w:rsidP="00C21C00">
      <w:pPr>
        <w:widowControl w:val="0"/>
        <w:spacing w:line="260" w:lineRule="atLeast"/>
        <w:jc w:val="center"/>
        <w:outlineLvl w:val="0"/>
        <w:rPr>
          <w:b/>
          <w:szCs w:val="20"/>
        </w:rPr>
      </w:pPr>
      <w:r w:rsidRPr="00433A89">
        <w:rPr>
          <w:b/>
          <w:szCs w:val="20"/>
        </w:rPr>
        <w:t xml:space="preserve">Board of Clinical Social Work, Marriage and Family Therapy, and Mental Health Counseling </w:t>
      </w:r>
    </w:p>
    <w:p w:rsidR="00C21C00" w:rsidRPr="00580564" w:rsidRDefault="00C21C00" w:rsidP="00C21C00">
      <w:pPr>
        <w:widowControl w:val="0"/>
        <w:shd w:val="clear" w:color="auto" w:fill="FFF2CC" w:themeFill="accent4" w:themeFillTint="33"/>
        <w:tabs>
          <w:tab w:val="left" w:pos="360"/>
          <w:tab w:val="left" w:pos="360"/>
        </w:tabs>
        <w:overflowPunct w:val="0"/>
        <w:autoSpaceDE w:val="0"/>
        <w:autoSpaceDN w:val="0"/>
        <w:adjustRightInd w:val="0"/>
        <w:spacing w:before="220" w:line="260" w:lineRule="atLeast"/>
        <w:ind w:firstLine="360"/>
        <w:jc w:val="both"/>
        <w:textAlignment w:val="baseline"/>
        <w:outlineLvl w:val="1"/>
        <w:rPr>
          <w:rFonts w:ascii="Arial Narrow" w:hAnsi="Arial Narrow"/>
          <w:b/>
          <w:noProof/>
          <w:color w:val="000000"/>
          <w:sz w:val="20"/>
          <w:szCs w:val="20"/>
        </w:rPr>
      </w:pPr>
      <w:r w:rsidRPr="00580564">
        <w:rPr>
          <w:rFonts w:ascii="Arial Narrow" w:hAnsi="Arial Narrow"/>
          <w:b/>
          <w:color w:val="000000"/>
          <w:sz w:val="20"/>
          <w:szCs w:val="20"/>
        </w:rPr>
        <w:t>64B4-9.001</w:t>
      </w:r>
      <w:r w:rsidRPr="00580564">
        <w:rPr>
          <w:rFonts w:ascii="Arial Narrow" w:hAnsi="Arial Narrow"/>
          <w:b/>
          <w:sz w:val="20"/>
          <w:szCs w:val="20"/>
        </w:rPr>
        <w:t xml:space="preserve"> </w:t>
      </w:r>
      <w:r w:rsidRPr="00E152D0">
        <w:rPr>
          <w:rFonts w:ascii="Arial Narrow" w:hAnsi="Arial Narrow"/>
          <w:b/>
          <w:noProof/>
          <w:color w:val="000000"/>
          <w:sz w:val="20"/>
          <w:szCs w:val="20"/>
          <w:highlight w:val="yellow"/>
        </w:rPr>
        <w:t>Requirements for Client Records.</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noProof/>
          <w:color w:val="000000"/>
          <w:sz w:val="20"/>
          <w:szCs w:val="20"/>
        </w:rPr>
      </w:pPr>
      <w:r w:rsidRPr="00580564">
        <w:rPr>
          <w:rFonts w:ascii="Arial Narrow" w:hAnsi="Arial Narrow"/>
          <w:noProof/>
          <w:color w:val="000000"/>
          <w:sz w:val="20"/>
          <w:szCs w:val="20"/>
        </w:rPr>
        <w:t xml:space="preserve">(1) A licensed clinical social worker, marriage and family therapist, or mental health counselor, including any registered intern or provisional licensee, shall maintain responsibility for all records relating to his clients as provided in Section 456.057, F.S. All such records shall remain confidential except as provided by law or as allowed pursuant to a written and signed </w:t>
      </w:r>
      <w:r w:rsidRPr="00580564">
        <w:rPr>
          <w:rFonts w:ascii="Arial Narrow" w:hAnsi="Arial Narrow"/>
          <w:noProof/>
          <w:color w:val="000000"/>
          <w:sz w:val="20"/>
          <w:szCs w:val="20"/>
        </w:rPr>
        <w:lastRenderedPageBreak/>
        <w:t>authorization by the client specifically requesting or authorizing release or disclosure of records in his office or possession.</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noProof/>
          <w:color w:val="000000"/>
          <w:sz w:val="20"/>
          <w:szCs w:val="20"/>
        </w:rPr>
      </w:pPr>
      <w:r w:rsidRPr="00580564">
        <w:rPr>
          <w:rFonts w:ascii="Arial Narrow" w:hAnsi="Arial Narrow"/>
          <w:noProof/>
          <w:color w:val="000000"/>
          <w:sz w:val="20"/>
          <w:szCs w:val="20"/>
        </w:rPr>
        <w:t xml:space="preserve">(2) A full record of services shall be maintained for </w:t>
      </w:r>
      <w:r w:rsidRPr="00E152D0">
        <w:rPr>
          <w:rFonts w:ascii="Arial Narrow" w:hAnsi="Arial Narrow"/>
          <w:noProof/>
          <w:color w:val="000000"/>
          <w:sz w:val="20"/>
          <w:szCs w:val="20"/>
          <w:shd w:val="clear" w:color="auto" w:fill="FFD966" w:themeFill="accent4" w:themeFillTint="99"/>
        </w:rPr>
        <w:t>7 years</w:t>
      </w:r>
      <w:r w:rsidRPr="00580564">
        <w:rPr>
          <w:rFonts w:ascii="Arial Narrow" w:hAnsi="Arial Narrow"/>
          <w:noProof/>
          <w:color w:val="000000"/>
          <w:sz w:val="20"/>
          <w:szCs w:val="20"/>
        </w:rPr>
        <w:t xml:space="preserve"> after the date of the last contact with the client or user.</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noProof/>
          <w:color w:val="000000"/>
          <w:sz w:val="20"/>
          <w:szCs w:val="20"/>
        </w:rPr>
      </w:pPr>
      <w:r w:rsidRPr="00580564">
        <w:rPr>
          <w:rFonts w:ascii="Arial Narrow" w:hAnsi="Arial Narrow"/>
          <w:noProof/>
          <w:color w:val="000000"/>
          <w:sz w:val="20"/>
          <w:szCs w:val="20"/>
        </w:rPr>
        <w:t>(3) When a clinical social worker, marriage and family therapist, or mental health counselor terminates practice or relocates and is no longer available to clients or users, the clients or users shall be notified of such termination or relocation and unavailability by the licensee’s causing to be published in the newspaper of greatest general circulation in the county in which the licensee practices or practiced, a notice which shall contain the date of termination or relocation and an address at which the licensee’s client or user records are available to the client, user, or to a licensed mental health professional designated by the client or user. The notice shall appear at least once a week for 4 consecutive weeks. The records shall be retained for 2 years after the termination or relocation of the practice.</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noProof/>
          <w:color w:val="000000"/>
          <w:sz w:val="20"/>
          <w:szCs w:val="20"/>
        </w:rPr>
      </w:pPr>
      <w:r w:rsidRPr="00580564">
        <w:rPr>
          <w:rFonts w:ascii="Arial Narrow" w:hAnsi="Arial Narrow"/>
          <w:noProof/>
          <w:color w:val="000000"/>
          <w:sz w:val="20"/>
          <w:szCs w:val="20"/>
        </w:rPr>
        <w:t>(4) If the termination was due to the death of a licensee, records shall be maintained at least two years after the licensee’s death. At the conclusion of a 22 month period from the date of the licensee’s death, the executor, administrator, personal representative, or survivor shall cause to be published once during each week for 4 consecutive weeks, in the newspaper of greatest general circulation in each county in which the licensee practiced, a notice indicating to the clients or users of the deceased licensee that the licensee’s records will be disposed of or destroyed 4 weeks or later from the last day of the final week of publication of the notice.</w:t>
      </w:r>
    </w:p>
    <w:p w:rsidR="00C21C00" w:rsidRPr="00580564" w:rsidRDefault="00C21C00" w:rsidP="00E152D0">
      <w:pPr>
        <w:widowControl w:val="0"/>
        <w:shd w:val="clear" w:color="auto" w:fill="FFF2CC" w:themeFill="accent4" w:themeFillTint="33"/>
        <w:overflowPunct w:val="0"/>
        <w:autoSpaceDE w:val="0"/>
        <w:autoSpaceDN w:val="0"/>
        <w:adjustRightInd w:val="0"/>
        <w:spacing w:before="120" w:after="240" w:line="260" w:lineRule="atLeast"/>
        <w:textAlignment w:val="baseline"/>
        <w:rPr>
          <w:rFonts w:ascii="Arial Narrow" w:hAnsi="Arial Narrow"/>
          <w:noProof/>
          <w:color w:val="000000"/>
          <w:sz w:val="20"/>
          <w:szCs w:val="20"/>
        </w:rPr>
      </w:pPr>
      <w:r w:rsidRPr="00580564">
        <w:rPr>
          <w:rFonts w:ascii="Arial Narrow" w:hAnsi="Arial Narrow"/>
          <w:noProof/>
          <w:color w:val="000000"/>
          <w:sz w:val="20"/>
          <w:szCs w:val="20"/>
        </w:rPr>
        <w:t>Rulemaking Authority 456.058, 491.004(5), 491.0148 FS. Law Implemented 456.058, 491.0148 FS. History–New 5-8-90, Formerly 21CC-9.001, 61F4-9.001, 59P-9.001, Amended 2-11-98, 6-13-07.</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outlineLvl w:val="1"/>
        <w:rPr>
          <w:rFonts w:ascii="Arial Narrow" w:hAnsi="Arial Narrow"/>
          <w:b/>
          <w:noProof/>
          <w:color w:val="000000"/>
          <w:sz w:val="20"/>
          <w:szCs w:val="20"/>
        </w:rPr>
      </w:pPr>
      <w:r w:rsidRPr="00580564">
        <w:rPr>
          <w:rFonts w:ascii="Arial Narrow" w:hAnsi="Arial Narrow"/>
          <w:b/>
          <w:noProof/>
          <w:color w:val="000000"/>
          <w:sz w:val="20"/>
          <w:szCs w:val="20"/>
        </w:rPr>
        <w:t xml:space="preserve">64B4-9.002 </w:t>
      </w:r>
      <w:r w:rsidRPr="00E152D0">
        <w:rPr>
          <w:rFonts w:ascii="Arial Narrow" w:hAnsi="Arial Narrow"/>
          <w:b/>
          <w:noProof/>
          <w:color w:val="000000"/>
          <w:sz w:val="20"/>
          <w:szCs w:val="20"/>
          <w:highlight w:val="yellow"/>
        </w:rPr>
        <w:t>Definitions</w:t>
      </w:r>
      <w:r w:rsidRPr="00580564">
        <w:rPr>
          <w:rFonts w:ascii="Arial Narrow" w:hAnsi="Arial Narrow"/>
          <w:b/>
          <w:noProof/>
          <w:color w:val="000000"/>
          <w:sz w:val="20"/>
          <w:szCs w:val="20"/>
        </w:rPr>
        <w:t>.</w:t>
      </w:r>
    </w:p>
    <w:p w:rsidR="00C21C00" w:rsidRPr="00580564" w:rsidRDefault="00C21C00" w:rsidP="00E152D0">
      <w:pPr>
        <w:widowControl w:val="0"/>
        <w:shd w:val="clear" w:color="auto" w:fill="FFD966" w:themeFill="accent4" w:themeFillTint="99"/>
        <w:overflowPunct w:val="0"/>
        <w:autoSpaceDE w:val="0"/>
        <w:autoSpaceDN w:val="0"/>
        <w:adjustRightInd w:val="0"/>
        <w:spacing w:line="260" w:lineRule="atLeast"/>
        <w:textAlignment w:val="baseline"/>
        <w:rPr>
          <w:rFonts w:ascii="Arial Narrow" w:hAnsi="Arial Narrow"/>
          <w:noProof/>
          <w:color w:val="000000"/>
          <w:sz w:val="20"/>
          <w:szCs w:val="20"/>
        </w:rPr>
      </w:pPr>
      <w:r w:rsidRPr="00580564">
        <w:rPr>
          <w:rFonts w:ascii="Arial Narrow" w:hAnsi="Arial Narrow"/>
          <w:noProof/>
          <w:color w:val="000000"/>
          <w:sz w:val="20"/>
          <w:szCs w:val="20"/>
        </w:rPr>
        <w:t>Psychotherapy records are chronicles of a dynamic psychotherapeutic relationship and are to be accorded the dignity and respect due such a relationship. Psychotherapy is for the client and all records constructed shall respect the integrity and privacy of that relationship.</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b/>
          <w:noProof/>
          <w:color w:val="000000"/>
          <w:sz w:val="20"/>
          <w:szCs w:val="20"/>
        </w:rPr>
      </w:pPr>
      <w:r w:rsidRPr="00580564">
        <w:rPr>
          <w:rFonts w:ascii="Arial Narrow" w:hAnsi="Arial Narrow"/>
          <w:b/>
          <w:noProof/>
          <w:color w:val="000000"/>
          <w:sz w:val="20"/>
          <w:szCs w:val="20"/>
          <w:highlight w:val="yellow"/>
        </w:rPr>
        <w:t>(1) A psychotherapy report is a summary of information derived from the psychotherapy records which addresses a specific request as authorized by the client.</w:t>
      </w:r>
    </w:p>
    <w:p w:rsidR="00C21C00" w:rsidRPr="00E152D0"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i/>
          <w:noProof/>
          <w:color w:val="FF0000"/>
          <w:sz w:val="20"/>
          <w:szCs w:val="20"/>
        </w:rPr>
      </w:pPr>
      <w:r w:rsidRPr="00580564">
        <w:rPr>
          <w:rFonts w:ascii="Arial Narrow" w:hAnsi="Arial Narrow"/>
          <w:noProof/>
          <w:color w:val="000000"/>
          <w:sz w:val="20"/>
          <w:szCs w:val="20"/>
        </w:rPr>
        <w:t>(2) A psychotherapy record shall contain basic information about the client including name, address and telephone number, dates of therapy sessions, treatment plan and results achieved, diagnosis if applicable, and financial transactions between therapist and client including fees assessed and collected. A record shall also include notes or documentation of the client’s consent to all aspects of treatment, copies of all client authorizations for release of information, any legal forms pertaining to the client, and documentation of any contact the therapist has with other professionals regarding the client.</w:t>
      </w:r>
      <w:r w:rsidR="00E152D0">
        <w:rPr>
          <w:rFonts w:ascii="Arial Narrow" w:hAnsi="Arial Narrow"/>
          <w:noProof/>
          <w:color w:val="000000"/>
          <w:sz w:val="20"/>
          <w:szCs w:val="20"/>
        </w:rPr>
        <w:t xml:space="preserve"> </w:t>
      </w:r>
      <w:r w:rsidR="00E152D0">
        <w:rPr>
          <w:rFonts w:ascii="Arial Narrow" w:hAnsi="Arial Narrow"/>
          <w:i/>
          <w:noProof/>
          <w:color w:val="FF0000"/>
          <w:sz w:val="20"/>
          <w:szCs w:val="20"/>
        </w:rPr>
        <w:t>Note that “progress notes” are not specifically mentioned; however, they are assumed to be part of a record as documentation of the course of actions and results of the treament plan prepared for the client. The importantce of progress notes are also supported by ethical standards and general best practice standards of the professions.</w:t>
      </w:r>
    </w:p>
    <w:p w:rsidR="00C21C00" w:rsidRPr="00580564" w:rsidRDefault="00C21C00" w:rsidP="00E152D0">
      <w:pPr>
        <w:widowControl w:val="0"/>
        <w:shd w:val="clear" w:color="auto" w:fill="FFF2CC" w:themeFill="accent4" w:themeFillTint="33"/>
        <w:tabs>
          <w:tab w:val="left" w:pos="360"/>
          <w:tab w:val="left" w:pos="360"/>
        </w:tabs>
        <w:overflowPunct w:val="0"/>
        <w:autoSpaceDE w:val="0"/>
        <w:autoSpaceDN w:val="0"/>
        <w:adjustRightInd w:val="0"/>
        <w:spacing w:line="260" w:lineRule="atLeast"/>
        <w:ind w:firstLine="360"/>
        <w:textAlignment w:val="baseline"/>
        <w:rPr>
          <w:rFonts w:ascii="Arial Narrow" w:hAnsi="Arial Narrow"/>
          <w:noProof/>
          <w:color w:val="000000"/>
          <w:sz w:val="20"/>
          <w:szCs w:val="20"/>
        </w:rPr>
      </w:pPr>
      <w:r w:rsidRPr="00580564">
        <w:rPr>
          <w:rFonts w:ascii="Arial Narrow" w:hAnsi="Arial Narrow"/>
          <w:noProof/>
          <w:color w:val="000000"/>
          <w:sz w:val="20"/>
          <w:szCs w:val="20"/>
        </w:rPr>
        <w:t>(3) Regardless of who pays for the services of the psychotherapist, a client is that individual who, by virtue of private consultation with the psychotherapist, has reason to expect that the individual’s communication with the psychotherapist during that private consultation will remain confidential.</w:t>
      </w:r>
    </w:p>
    <w:p w:rsidR="00C21C00" w:rsidRPr="00580564" w:rsidRDefault="00C21C00" w:rsidP="00E152D0">
      <w:pPr>
        <w:widowControl w:val="0"/>
        <w:shd w:val="clear" w:color="auto" w:fill="FFF2CC" w:themeFill="accent4" w:themeFillTint="33"/>
        <w:overflowPunct w:val="0"/>
        <w:autoSpaceDE w:val="0"/>
        <w:autoSpaceDN w:val="0"/>
        <w:adjustRightInd w:val="0"/>
        <w:textAlignment w:val="baseline"/>
        <w:rPr>
          <w:rFonts w:ascii="Arial Narrow" w:hAnsi="Arial Narrow"/>
          <w:noProof/>
          <w:color w:val="000000"/>
          <w:sz w:val="20"/>
          <w:szCs w:val="20"/>
        </w:rPr>
      </w:pPr>
      <w:r w:rsidRPr="00580564">
        <w:rPr>
          <w:rFonts w:ascii="Arial Narrow" w:hAnsi="Arial Narrow"/>
          <w:noProof/>
          <w:color w:val="000000"/>
          <w:sz w:val="20"/>
          <w:szCs w:val="20"/>
        </w:rPr>
        <w:t>Rulemaking Authority 491.004(5), 491.0148 FS. Law Implemented 491.009(2)(s), 491.0148 FS. History–New 12-11-91, Formerly 21CC-9.002, 61F4-9.002, 59P-9.002, Amended 2-11-98.</w:t>
      </w:r>
    </w:p>
    <w:p w:rsidR="00C21C00" w:rsidRDefault="00C21C00" w:rsidP="00FD1944">
      <w:pPr>
        <w:jc w:val="center"/>
        <w:rPr>
          <w:b/>
        </w:rPr>
      </w:pPr>
    </w:p>
    <w:p w:rsidR="00C21C00" w:rsidRDefault="00C21C00" w:rsidP="00FD1944">
      <w:pPr>
        <w:jc w:val="center"/>
        <w:rPr>
          <w:b/>
          <w:sz w:val="28"/>
        </w:rPr>
      </w:pPr>
      <w:r w:rsidRPr="00FD1944">
        <w:rPr>
          <w:b/>
          <w:sz w:val="28"/>
        </w:rPr>
        <w:t>Florida Statute Chapter 456</w:t>
      </w:r>
      <w:r w:rsidR="00433A89">
        <w:rPr>
          <w:b/>
          <w:sz w:val="28"/>
        </w:rPr>
        <w:t>: Health Professions and Occupations</w:t>
      </w:r>
    </w:p>
    <w:p w:rsidR="00433A89" w:rsidRPr="00FD1944" w:rsidRDefault="00433A89" w:rsidP="00FD1944">
      <w:pPr>
        <w:jc w:val="center"/>
        <w:rPr>
          <w:b/>
          <w:sz w:val="28"/>
        </w:rPr>
      </w:pPr>
      <w:r>
        <w:rPr>
          <w:rFonts w:ascii="Arial Narrow" w:hAnsi="Arial Narrow"/>
          <w:bCs/>
          <w:i/>
          <w:color w:val="000000" w:themeColor="text1"/>
          <w:sz w:val="20"/>
          <w:szCs w:val="22"/>
        </w:rPr>
        <w:t xml:space="preserve">This </w:t>
      </w:r>
      <w:r w:rsidRPr="001341E8">
        <w:rPr>
          <w:rFonts w:ascii="Arial Narrow" w:hAnsi="Arial Narrow"/>
          <w:bCs/>
          <w:i/>
          <w:color w:val="000000" w:themeColor="text1"/>
          <w:sz w:val="20"/>
          <w:szCs w:val="22"/>
        </w:rPr>
        <w:t>is an “Omnibus” Statute that supersedes FS 491</w:t>
      </w:r>
    </w:p>
    <w:p w:rsidR="00C21C00" w:rsidRDefault="00C21C00"/>
    <w:p w:rsidR="00C21C00" w:rsidRPr="00C80F28" w:rsidRDefault="00C21C00" w:rsidP="00C21C00">
      <w:pPr>
        <w:rPr>
          <w:rFonts w:ascii="Arial Narrow" w:hAnsi="Arial Narrow"/>
          <w:color w:val="000000" w:themeColor="text1"/>
          <w:sz w:val="20"/>
          <w:szCs w:val="20"/>
          <w:shd w:val="clear" w:color="auto" w:fill="FFFFFF"/>
        </w:rPr>
      </w:pPr>
      <w:r w:rsidRPr="00C80F28">
        <w:rPr>
          <w:rFonts w:ascii="Arial Narrow" w:hAnsi="Arial Narrow"/>
          <w:b/>
          <w:bCs/>
          <w:color w:val="000000" w:themeColor="text1"/>
          <w:sz w:val="20"/>
          <w:szCs w:val="20"/>
          <w:shd w:val="clear" w:color="auto" w:fill="FFFFFF"/>
        </w:rPr>
        <w:t>456.057</w:t>
      </w:r>
      <w:r w:rsidRPr="00C80F28">
        <w:rPr>
          <w:rFonts w:ascii="Arial Narrow" w:hAnsi="Arial Narrow"/>
          <w:b/>
          <w:bCs/>
          <w:color w:val="000000" w:themeColor="text1"/>
          <w:sz w:val="20"/>
          <w:szCs w:val="20"/>
          <w:shd w:val="clear" w:color="auto" w:fill="FFFFFF"/>
        </w:rPr>
        <w:t> </w:t>
      </w:r>
      <w:r w:rsidRPr="00E152D0">
        <w:rPr>
          <w:rFonts w:ascii="Arial Narrow" w:hAnsi="Arial Narrow"/>
          <w:b/>
          <w:bCs/>
          <w:color w:val="000000" w:themeColor="text1"/>
          <w:sz w:val="20"/>
          <w:szCs w:val="20"/>
          <w:highlight w:val="yellow"/>
          <w:shd w:val="clear" w:color="auto" w:fill="FFFFFF"/>
        </w:rPr>
        <w:t>Ownership and control of patient records; report or copies of records to be furnished; disclosure of information.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Fonts w:ascii="Arial Narrow" w:hAnsi="Arial Narrow"/>
          <w:color w:val="000000" w:themeColor="text1"/>
          <w:sz w:val="20"/>
          <w:szCs w:val="20"/>
          <w:shd w:val="clear" w:color="auto" w:fill="FFFFFF"/>
        </w:rPr>
        <w:t>(1)</w:t>
      </w:r>
      <w:r w:rsidRPr="00C80F28">
        <w:rPr>
          <w:rFonts w:ascii="Arial Narrow" w:hAnsi="Arial Narrow"/>
          <w:color w:val="000000" w:themeColor="text1"/>
          <w:sz w:val="20"/>
          <w:szCs w:val="20"/>
          <w:shd w:val="clear" w:color="auto" w:fill="FFFFFF"/>
        </w:rPr>
        <w:t> </w:t>
      </w:r>
      <w:r w:rsidRPr="00C80F28">
        <w:rPr>
          <w:rFonts w:ascii="Arial Narrow" w:hAnsi="Arial Narrow"/>
          <w:color w:val="000000" w:themeColor="text1"/>
          <w:sz w:val="20"/>
          <w:szCs w:val="20"/>
          <w:shd w:val="clear" w:color="auto" w:fill="FFFFFF"/>
        </w:rPr>
        <w:t>As used in this section, the term “records owner” means any health care practitioner who generates a medical record after making a physical or mental examination of, or administering treatment or dispensing legend drugs to, any person; any health care practitioner to whom records are transferred by a previous records owner; or any health care practitioner’s employer, including, but not limited to, group practices and staff-model health maintenance organizations, provided the employment contract or agreement between the employer and the health care practitioner designates the employer as the records owner.</w:t>
      </w:r>
    </w:p>
    <w:p w:rsidR="00C21C00" w:rsidRPr="00C80F28" w:rsidRDefault="00C21C00" w:rsidP="00C21C00">
      <w:pPr>
        <w:shd w:val="clear" w:color="auto" w:fill="FFFFFF"/>
        <w:ind w:firstLine="720"/>
        <w:rPr>
          <w:rFonts w:ascii="Arial Narrow" w:hAnsi="Arial Narrow"/>
          <w:b/>
          <w:i/>
          <w:color w:val="000000" w:themeColor="text1"/>
          <w:sz w:val="20"/>
          <w:szCs w:val="20"/>
        </w:rPr>
      </w:pPr>
      <w:r w:rsidRPr="00C80F28">
        <w:rPr>
          <w:rFonts w:ascii="Arial Narrow" w:hAnsi="Arial Narrow"/>
          <w:b/>
          <w:i/>
          <w:color w:val="000000" w:themeColor="text1"/>
          <w:sz w:val="20"/>
          <w:szCs w:val="20"/>
        </w:rPr>
        <w:t>Section Continues…</w:t>
      </w:r>
    </w:p>
    <w:p w:rsidR="00C21C00" w:rsidRPr="00C80F28" w:rsidRDefault="00C21C00" w:rsidP="00C21C00">
      <w:pPr>
        <w:shd w:val="clear" w:color="auto" w:fill="FFF2CC" w:themeFill="accent4" w:themeFillTint="33"/>
        <w:ind w:firstLine="200"/>
        <w:rPr>
          <w:rFonts w:ascii="Arial Narrow" w:hAnsi="Arial Narrow"/>
          <w:color w:val="000000" w:themeColor="text1"/>
          <w:sz w:val="20"/>
          <w:szCs w:val="20"/>
        </w:rPr>
      </w:pPr>
      <w:r w:rsidRPr="00C80F28">
        <w:rPr>
          <w:rFonts w:ascii="Arial Narrow" w:hAnsi="Arial Narrow"/>
          <w:color w:val="000000" w:themeColor="text1"/>
          <w:sz w:val="20"/>
          <w:szCs w:val="20"/>
        </w:rPr>
        <w:lastRenderedPageBreak/>
        <w:t>(6)</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 xml:space="preserve">Any health care practitioner licensed by the department or a board within the department who makes a physical or mental examination of, or administers treatment or dispenses legend drugs to, any person shall, upon request of such person or the person’s legal representative, furnish, in a timely manner, without delays for legal review, copies of all reports and records relating to such examination or treatment, including X rays and insurance information. </w:t>
      </w:r>
      <w:r w:rsidRPr="00E152D0">
        <w:rPr>
          <w:rFonts w:ascii="Arial Narrow" w:hAnsi="Arial Narrow"/>
          <w:color w:val="000000" w:themeColor="text1"/>
          <w:sz w:val="20"/>
          <w:szCs w:val="20"/>
          <w:highlight w:val="yellow"/>
        </w:rPr>
        <w:t>However, when a patient’s psychiatric, chapter 490 psychological, or chapter 491 psychotherapeutic records are requested by the patient or the patient’s legal representative, the health care practitioner may provide a report of examination and treatment in lieu of copies of records. Upon a patient’s written request, complete copies of the patient’s psychiatric records shall be provided directly to a subsequent treating psychiatrist.</w:t>
      </w:r>
      <w:r w:rsidR="00E152D0">
        <w:rPr>
          <w:rFonts w:ascii="Arial Narrow" w:hAnsi="Arial Narrow"/>
          <w:i/>
          <w:color w:val="FF0000"/>
          <w:sz w:val="20"/>
          <w:szCs w:val="20"/>
          <w:highlight w:val="yellow"/>
        </w:rPr>
        <w:t>.</w:t>
      </w:r>
      <w:r w:rsidRPr="00C80F28">
        <w:rPr>
          <w:rFonts w:ascii="Arial Narrow" w:hAnsi="Arial Narrow"/>
          <w:color w:val="000000" w:themeColor="text1"/>
          <w:sz w:val="20"/>
          <w:szCs w:val="20"/>
        </w:rPr>
        <w:t xml:space="preserve"> The furnishing of such report or copies shall not be conditioned upon payment of a fee for services rendered.</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(7)(a)</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Except as otherwise provided in this section and in s. 440.13(4)(c), such records may not be furnished to, and the medical condition of a patient may not be discussed with, any person other than the patient, the patient’s legal representative, or other health care practitioners and providers involved in the patient’s care or treatment, except upon written authorization from the patient. However, such records may be furnished without written authorization under the following circumstances:</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1.</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To any person, firm, or corporation that has procured or furnished such care or treatment with the patient’s consent.</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2.</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When compulsory physical examination is made pursuant to Rule 1.360, Florida Rules of Civil Procedure, in which case copies of the medical records shall be furnished to both the defendant and the plaintiff.</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3.</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In any civil or criminal action, unless otherwise prohibited by law, upon the issuance of a subpoena from a court of competent jurisdiction and proper notice to the patient or the patient’s legal representative by the party seeking such records.</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4.</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For statistical and scientific research, provided the information is abstracted in such a way as to protect the identity of the patient or provided written permission is received from the patient or the patient’s legal representative.</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5.</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To a regional poison control center for purposes of treating a poison episode under evaluation, case management of poison cases, or compliance with data collection and reporting requirements of s. 395.1027 and the professional organization that certifies poison control centers in accordance with federal law.</w:t>
      </w:r>
    </w:p>
    <w:p w:rsidR="00C21C00" w:rsidRPr="00C80F28" w:rsidRDefault="00C21C00" w:rsidP="009B3A26">
      <w:pPr>
        <w:shd w:val="clear" w:color="auto" w:fill="FFF2CC" w:themeFill="accent4" w:themeFillTint="33"/>
        <w:ind w:firstLine="240"/>
        <w:rPr>
          <w:rFonts w:ascii="Arial Narrow" w:hAnsi="Arial Narrow"/>
          <w:color w:val="000000" w:themeColor="text1"/>
          <w:sz w:val="20"/>
          <w:szCs w:val="20"/>
        </w:rPr>
      </w:pPr>
      <w:r w:rsidRPr="00C80F28">
        <w:rPr>
          <w:rFonts w:ascii="Arial Narrow" w:hAnsi="Arial Narrow"/>
          <w:color w:val="000000" w:themeColor="text1"/>
          <w:sz w:val="20"/>
          <w:szCs w:val="20"/>
        </w:rPr>
        <w:t>6.</w:t>
      </w:r>
      <w:r w:rsidRPr="00C80F28">
        <w:rPr>
          <w:rFonts w:ascii="Arial Narrow" w:hAnsi="Arial Narrow"/>
          <w:color w:val="000000" w:themeColor="text1"/>
          <w:sz w:val="20"/>
          <w:szCs w:val="20"/>
        </w:rPr>
        <w:t> </w:t>
      </w:r>
      <w:r w:rsidRPr="009B3A26">
        <w:rPr>
          <w:rFonts w:ascii="Arial Narrow" w:hAnsi="Arial Narrow"/>
          <w:color w:val="000000" w:themeColor="text1"/>
          <w:sz w:val="20"/>
          <w:szCs w:val="20"/>
          <w:shd w:val="clear" w:color="auto" w:fill="FFF2CC" w:themeFill="accent4" w:themeFillTint="33"/>
        </w:rPr>
        <w:t>To the Department of Children and Families</w:t>
      </w:r>
      <w:r w:rsidRPr="00C80F28">
        <w:rPr>
          <w:rFonts w:ascii="Arial Narrow" w:hAnsi="Arial Narrow"/>
          <w:color w:val="000000" w:themeColor="text1"/>
          <w:sz w:val="20"/>
          <w:szCs w:val="20"/>
        </w:rPr>
        <w:t>, its agent, or its contracted entity, for the purpose of investigations of or services for cases of abuse, neglect, or exploitation of children or vulnerable adults.</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(b)</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Absent a specific written release or authorization permitting utilization of patient information for solicitation or marketing the sale of goods or services, any use of that information for those purposes is prohibited.</w:t>
      </w:r>
    </w:p>
    <w:p w:rsidR="00C21C00" w:rsidRPr="00C80F28" w:rsidRDefault="00C21C00" w:rsidP="00C21C00">
      <w:pPr>
        <w:shd w:val="clear" w:color="auto" w:fill="FFFFFF"/>
        <w:ind w:firstLine="240"/>
        <w:rPr>
          <w:rFonts w:ascii="Arial Narrow" w:hAnsi="Arial Narrow"/>
          <w:color w:val="000000" w:themeColor="text1"/>
          <w:sz w:val="20"/>
          <w:szCs w:val="20"/>
        </w:rPr>
      </w:pPr>
      <w:r w:rsidRPr="00C80F28">
        <w:rPr>
          <w:rFonts w:ascii="Arial Narrow" w:hAnsi="Arial Narrow"/>
          <w:color w:val="000000" w:themeColor="text1"/>
          <w:sz w:val="20"/>
          <w:szCs w:val="20"/>
        </w:rPr>
        <w:t>(c)</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Information disclosed to a health care practitioner by a patient in the course of the care and treatment of such patient is confidential and may be disclosed only to other health care practitioners and providers involved in the care or treatment of the patient, if allowed by written authorization from the patient, or if compelled by subpoena at a deposition, evidentiary hearing, or trial for which proper notice has been given.</w:t>
      </w:r>
    </w:p>
    <w:p w:rsidR="00C21C00" w:rsidRPr="00C80F28" w:rsidRDefault="00C21C00" w:rsidP="00C21C00">
      <w:pPr>
        <w:shd w:val="clear" w:color="auto" w:fill="FFFFFF"/>
        <w:ind w:firstLine="720"/>
        <w:rPr>
          <w:rFonts w:ascii="Arial Narrow" w:hAnsi="Arial Narrow"/>
          <w:b/>
          <w:i/>
          <w:color w:val="000000" w:themeColor="text1"/>
          <w:sz w:val="20"/>
          <w:szCs w:val="20"/>
        </w:rPr>
      </w:pPr>
      <w:r w:rsidRPr="00C80F28">
        <w:rPr>
          <w:rFonts w:ascii="Arial Narrow" w:hAnsi="Arial Narrow"/>
          <w:b/>
          <w:i/>
          <w:color w:val="000000" w:themeColor="text1"/>
          <w:sz w:val="20"/>
          <w:szCs w:val="20"/>
        </w:rPr>
        <w:t>Section Continues…</w:t>
      </w:r>
    </w:p>
    <w:p w:rsidR="00C21C00" w:rsidRPr="00C80F28" w:rsidRDefault="00C21C00" w:rsidP="00C21C00">
      <w:pPr>
        <w:shd w:val="clear" w:color="auto" w:fill="FFFFFF"/>
        <w:ind w:firstLine="200"/>
        <w:rPr>
          <w:rFonts w:ascii="Arial Narrow" w:hAnsi="Arial Narrow"/>
          <w:color w:val="000000" w:themeColor="text1"/>
          <w:sz w:val="20"/>
          <w:szCs w:val="20"/>
        </w:rPr>
      </w:pPr>
      <w:r w:rsidRPr="00C80F28">
        <w:rPr>
          <w:rFonts w:ascii="Arial Narrow" w:hAnsi="Arial Narrow"/>
          <w:color w:val="000000" w:themeColor="text1"/>
          <w:sz w:val="20"/>
          <w:szCs w:val="20"/>
        </w:rPr>
        <w:t xml:space="preserve"> (10)</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All records owners shall develop and implement policies, standards, and procedures to protect the confidentiality and security of the medical record. Employees of records owners shall be trained in these policies, standards, and procedures.</w:t>
      </w:r>
    </w:p>
    <w:p w:rsidR="00C21C00" w:rsidRPr="00C80F28" w:rsidRDefault="00C21C00" w:rsidP="00C21C00">
      <w:pPr>
        <w:shd w:val="clear" w:color="auto" w:fill="FFFFFF"/>
        <w:ind w:firstLine="200"/>
        <w:rPr>
          <w:rFonts w:ascii="Arial Narrow" w:hAnsi="Arial Narrow"/>
          <w:color w:val="000000" w:themeColor="text1"/>
          <w:sz w:val="20"/>
          <w:szCs w:val="20"/>
        </w:rPr>
      </w:pPr>
      <w:r w:rsidRPr="00C80F28">
        <w:rPr>
          <w:rFonts w:ascii="Arial Narrow" w:hAnsi="Arial Narrow"/>
          <w:color w:val="000000" w:themeColor="text1"/>
          <w:sz w:val="20"/>
          <w:szCs w:val="20"/>
        </w:rPr>
        <w:t>(11)</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Records owners are responsible for maintaining a record of all disclosures of information contained in the medical record to a third party, including the purpose of the disclosure request. The record of disclosure may be maintained in the medical record. The third party to whom information is disclosed is prohibited from further disclosing any information in the medical record without the expressed written consent of the patient or the patient’s legal representative.</w:t>
      </w:r>
    </w:p>
    <w:p w:rsidR="00C21C00" w:rsidRPr="00C80F28" w:rsidRDefault="00C21C00" w:rsidP="00C21C00">
      <w:pPr>
        <w:shd w:val="clear" w:color="auto" w:fill="FFFFFF"/>
        <w:ind w:firstLine="200"/>
        <w:rPr>
          <w:rFonts w:ascii="Arial Narrow" w:hAnsi="Arial Narrow"/>
          <w:color w:val="000000" w:themeColor="text1"/>
          <w:sz w:val="20"/>
          <w:szCs w:val="20"/>
        </w:rPr>
      </w:pPr>
      <w:r w:rsidRPr="00C80F28">
        <w:rPr>
          <w:rFonts w:ascii="Arial Narrow" w:hAnsi="Arial Narrow"/>
          <w:color w:val="000000" w:themeColor="text1"/>
          <w:sz w:val="20"/>
          <w:szCs w:val="20"/>
        </w:rPr>
        <w:t>(12)</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Notwithstanding the provisions of s. 456.058, records owners shall place an advertisement in the local newspaper or notify patients, in writing, when they are terminating practice, retiring, or relocating, and no longer available to patients, and offer patients the opportunity to obtain a copy of their medical record.</w:t>
      </w:r>
    </w:p>
    <w:p w:rsidR="00C21C00" w:rsidRPr="00C80F28" w:rsidRDefault="00C21C00" w:rsidP="00C21C00">
      <w:pPr>
        <w:shd w:val="clear" w:color="auto" w:fill="FFFFFF"/>
        <w:ind w:firstLine="200"/>
        <w:rPr>
          <w:rFonts w:ascii="Arial Narrow" w:hAnsi="Arial Narrow"/>
          <w:color w:val="000000" w:themeColor="text1"/>
          <w:sz w:val="20"/>
          <w:szCs w:val="20"/>
        </w:rPr>
      </w:pPr>
      <w:r w:rsidRPr="00C80F28">
        <w:rPr>
          <w:rFonts w:ascii="Arial Narrow" w:hAnsi="Arial Narrow"/>
          <w:color w:val="000000" w:themeColor="text1"/>
          <w:sz w:val="20"/>
          <w:szCs w:val="20"/>
        </w:rPr>
        <w:t>(13)</w:t>
      </w:r>
      <w:r w:rsidRPr="00C80F28">
        <w:rPr>
          <w:rFonts w:ascii="Arial Narrow" w:hAnsi="Arial Narrow"/>
          <w:color w:val="000000" w:themeColor="text1"/>
          <w:sz w:val="20"/>
          <w:szCs w:val="20"/>
        </w:rPr>
        <w:t> </w:t>
      </w:r>
      <w:r w:rsidRPr="00C80F28">
        <w:rPr>
          <w:rFonts w:ascii="Arial Narrow" w:hAnsi="Arial Narrow"/>
          <w:color w:val="000000" w:themeColor="text1"/>
          <w:sz w:val="20"/>
          <w:szCs w:val="20"/>
        </w:rPr>
        <w:t>Notwithstanding the provisions of s. 456.058, records owners shall notify the appropriate board office when they are terminating practice, retiring, or relocating, and no longer available to patients, specifying who the new records owner is and where medical records can be found.</w:t>
      </w:r>
    </w:p>
    <w:p w:rsidR="00C21C00" w:rsidRDefault="00C21C00" w:rsidP="00C21C00">
      <w:pPr>
        <w:shd w:val="clear" w:color="auto" w:fill="FFFFFF"/>
        <w:ind w:firstLine="720"/>
        <w:rPr>
          <w:rFonts w:ascii="Arial Narrow" w:hAnsi="Arial Narrow"/>
          <w:b/>
          <w:i/>
          <w:color w:val="000000" w:themeColor="text1"/>
          <w:sz w:val="20"/>
          <w:szCs w:val="20"/>
        </w:rPr>
      </w:pPr>
      <w:r w:rsidRPr="00C80F28">
        <w:rPr>
          <w:rFonts w:ascii="Arial Narrow" w:hAnsi="Arial Narrow"/>
          <w:b/>
          <w:i/>
          <w:color w:val="000000" w:themeColor="text1"/>
          <w:sz w:val="20"/>
          <w:szCs w:val="20"/>
        </w:rPr>
        <w:t>Section Continues…</w:t>
      </w:r>
    </w:p>
    <w:p w:rsidR="009B3A26" w:rsidRDefault="009B3A26" w:rsidP="00C21C00">
      <w:pPr>
        <w:shd w:val="clear" w:color="auto" w:fill="FFFFFF"/>
        <w:ind w:firstLine="720"/>
        <w:rPr>
          <w:rFonts w:ascii="Arial Narrow" w:hAnsi="Arial Narrow"/>
          <w:b/>
          <w:i/>
          <w:color w:val="000000" w:themeColor="text1"/>
          <w:sz w:val="20"/>
          <w:szCs w:val="20"/>
        </w:rPr>
      </w:pPr>
    </w:p>
    <w:p w:rsidR="009B3A26" w:rsidRPr="001341E8" w:rsidRDefault="009B3A26" w:rsidP="009B3A26">
      <w:pPr>
        <w:rPr>
          <w:rStyle w:val="sectionbody"/>
          <w:rFonts w:ascii="Arial Narrow" w:hAnsi="Arial Narrow"/>
          <w:color w:val="000000" w:themeColor="text1"/>
          <w:sz w:val="20"/>
          <w:shd w:val="clear" w:color="auto" w:fill="FFFFFF"/>
        </w:rPr>
      </w:pPr>
      <w:r w:rsidRPr="001341E8">
        <w:rPr>
          <w:rStyle w:val="sectionnumber"/>
          <w:rFonts w:ascii="Arial Narrow" w:hAnsi="Arial Narrow"/>
          <w:b/>
          <w:bCs/>
          <w:color w:val="000000" w:themeColor="text1"/>
          <w:sz w:val="20"/>
          <w:shd w:val="clear" w:color="auto" w:fill="FFFFFF"/>
        </w:rPr>
        <w:t>456.059</w:t>
      </w:r>
      <w:r w:rsidRPr="001341E8">
        <w:rPr>
          <w:rStyle w:val="sectionnumber"/>
          <w:rFonts w:ascii="Arial Narrow" w:hAnsi="Arial Narrow"/>
          <w:b/>
          <w:bCs/>
          <w:color w:val="000000" w:themeColor="text1"/>
          <w:sz w:val="20"/>
          <w:shd w:val="clear" w:color="auto" w:fill="FFFFFF"/>
        </w:rPr>
        <w:t> </w:t>
      </w:r>
      <w:r w:rsidRPr="009B3A26">
        <w:rPr>
          <w:rStyle w:val="catchlinetext"/>
          <w:rFonts w:ascii="Arial Narrow" w:hAnsi="Arial Narrow"/>
          <w:b/>
          <w:bCs/>
          <w:color w:val="000000" w:themeColor="text1"/>
          <w:sz w:val="20"/>
          <w:highlight w:val="yellow"/>
          <w:shd w:val="clear" w:color="auto" w:fill="FFFFFF"/>
        </w:rPr>
        <w:t>Communications confidential; exceptions</w:t>
      </w:r>
      <w:r w:rsidRPr="001341E8">
        <w:rPr>
          <w:rStyle w:val="catchlinetext"/>
          <w:rFonts w:ascii="Arial Narrow" w:hAnsi="Arial Narrow"/>
          <w:b/>
          <w:bCs/>
          <w:color w:val="000000" w:themeColor="text1"/>
          <w:sz w:val="20"/>
          <w:shd w:val="clear" w:color="auto" w:fill="FFFFFF"/>
        </w:rPr>
        <w:t>.</w:t>
      </w:r>
      <w:r w:rsidRPr="001341E8">
        <w:rPr>
          <w:rStyle w:val="emdash"/>
          <w:rFonts w:ascii="Arial Narrow" w:hAnsi="Arial Narrow"/>
          <w:color w:val="000000" w:themeColor="text1"/>
          <w:sz w:val="20"/>
          <w:shd w:val="clear" w:color="auto" w:fill="FFFFFF"/>
        </w:rPr>
        <w:t>—</w:t>
      </w:r>
      <w:r w:rsidRPr="001341E8">
        <w:rPr>
          <w:rStyle w:val="text"/>
          <w:rFonts w:ascii="Arial Narrow" w:hAnsi="Arial Narrow"/>
          <w:color w:val="000000" w:themeColor="text1"/>
          <w:sz w:val="20"/>
          <w:shd w:val="clear" w:color="auto" w:fill="FFFFFF"/>
        </w:rPr>
        <w:t>Communications between a patient and a psychiatrist, as defined in s. 394.455, shall be held confidential and shall not be disclosed except upon the request of the patient or the patient’s legal representative. Provision of psychiatric records and reports shall be governed by s. 456.057. Notwithstanding any other provision of this section or s. 90.503, where:</w:t>
      </w:r>
    </w:p>
    <w:p w:rsidR="009B3A26" w:rsidRPr="001341E8" w:rsidRDefault="009B3A26" w:rsidP="009B3A26">
      <w:pPr>
        <w:ind w:firstLine="240"/>
        <w:rPr>
          <w:rFonts w:ascii="Arial Narrow" w:hAnsi="Arial Narrow"/>
          <w:color w:val="000000" w:themeColor="text1"/>
          <w:sz w:val="20"/>
        </w:rPr>
      </w:pPr>
      <w:r w:rsidRPr="001341E8">
        <w:rPr>
          <w:rStyle w:val="number"/>
          <w:rFonts w:ascii="Arial Narrow" w:hAnsi="Arial Narrow"/>
          <w:color w:val="000000" w:themeColor="text1"/>
          <w:sz w:val="20"/>
          <w:shd w:val="clear" w:color="auto" w:fill="FFFFFF"/>
        </w:rPr>
        <w:t>(1)</w:t>
      </w:r>
      <w:r w:rsidRPr="001341E8">
        <w:rPr>
          <w:rStyle w:val="number"/>
          <w:rFonts w:ascii="Arial Narrow" w:hAnsi="Arial Narrow"/>
          <w:color w:val="000000" w:themeColor="text1"/>
          <w:sz w:val="20"/>
          <w:shd w:val="clear" w:color="auto" w:fill="FFFFFF"/>
        </w:rPr>
        <w:t> </w:t>
      </w:r>
      <w:r w:rsidRPr="001341E8">
        <w:rPr>
          <w:rStyle w:val="text"/>
          <w:rFonts w:ascii="Arial Narrow" w:hAnsi="Arial Narrow"/>
          <w:color w:val="000000" w:themeColor="text1"/>
          <w:sz w:val="20"/>
          <w:shd w:val="clear" w:color="auto" w:fill="FFFFFF"/>
        </w:rPr>
        <w:t>A patient is engaged in a treatment relationship with a psychiatrist;</w:t>
      </w:r>
    </w:p>
    <w:p w:rsidR="009B3A26" w:rsidRPr="001341E8" w:rsidRDefault="009B3A26" w:rsidP="009B3A26">
      <w:pPr>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(2)</w:t>
      </w:r>
      <w:r w:rsidRPr="001341E8">
        <w:rPr>
          <w:rStyle w:val="number"/>
          <w:rFonts w:ascii="Arial Narrow" w:hAnsi="Arial Narrow"/>
          <w:color w:val="000000" w:themeColor="text1"/>
          <w:sz w:val="20"/>
          <w:shd w:val="clear" w:color="auto" w:fill="FFFFFF"/>
        </w:rPr>
        <w:t> </w:t>
      </w:r>
      <w:r w:rsidRPr="009B3A26">
        <w:rPr>
          <w:rStyle w:val="text"/>
          <w:rFonts w:ascii="Arial Narrow" w:hAnsi="Arial Narrow"/>
          <w:color w:val="000000" w:themeColor="text1"/>
          <w:sz w:val="20"/>
          <w:shd w:val="clear" w:color="auto" w:fill="FFF2CC" w:themeFill="accent4" w:themeFillTint="33"/>
        </w:rPr>
        <w:t xml:space="preserve">Such patient has made an actual threat to physically </w:t>
      </w:r>
      <w:r w:rsidRPr="009B3A26">
        <w:rPr>
          <w:rStyle w:val="text"/>
          <w:rFonts w:ascii="Arial Narrow" w:hAnsi="Arial Narrow"/>
          <w:color w:val="000000" w:themeColor="text1"/>
          <w:sz w:val="20"/>
          <w:highlight w:val="yellow"/>
          <w:shd w:val="clear" w:color="auto" w:fill="FFF2CC" w:themeFill="accent4" w:themeFillTint="33"/>
        </w:rPr>
        <w:t>harm</w:t>
      </w:r>
      <w:r w:rsidRPr="009B3A26">
        <w:rPr>
          <w:rStyle w:val="text"/>
          <w:rFonts w:ascii="Arial Narrow" w:hAnsi="Arial Narrow"/>
          <w:color w:val="000000" w:themeColor="text1"/>
          <w:sz w:val="20"/>
          <w:shd w:val="clear" w:color="auto" w:fill="FFF2CC" w:themeFill="accent4" w:themeFillTint="33"/>
        </w:rPr>
        <w:t xml:space="preserve"> an identifiable victim or victims; and</w:t>
      </w:r>
    </w:p>
    <w:p w:rsidR="009B3A26" w:rsidRDefault="009B3A26" w:rsidP="009B3A26">
      <w:pPr>
        <w:shd w:val="clear" w:color="auto" w:fill="FFF2CC" w:themeFill="accent4" w:themeFillTint="33"/>
        <w:ind w:firstLine="240"/>
        <w:rPr>
          <w:rFonts w:ascii="Arial Narrow" w:hAnsi="Arial Narrow"/>
          <w:color w:val="000000" w:themeColor="text1"/>
          <w:sz w:val="20"/>
          <w:szCs w:val="20"/>
          <w:shd w:val="clear" w:color="auto" w:fill="FFFFFF"/>
        </w:rPr>
      </w:pPr>
      <w:r w:rsidRPr="001341E8">
        <w:rPr>
          <w:rStyle w:val="number"/>
          <w:rFonts w:ascii="Arial Narrow" w:hAnsi="Arial Narrow"/>
          <w:color w:val="000000" w:themeColor="text1"/>
          <w:sz w:val="20"/>
          <w:shd w:val="clear" w:color="auto" w:fill="FFFFFF"/>
        </w:rPr>
        <w:t>(3)</w:t>
      </w:r>
      <w:r w:rsidRPr="001341E8">
        <w:rPr>
          <w:rStyle w:val="number"/>
          <w:rFonts w:ascii="Arial Narrow" w:hAnsi="Arial Narrow"/>
          <w:color w:val="000000" w:themeColor="text1"/>
          <w:sz w:val="20"/>
          <w:shd w:val="clear" w:color="auto" w:fill="FFFFFF"/>
        </w:rPr>
        <w:t> </w:t>
      </w:r>
      <w:r w:rsidRPr="009B3A26">
        <w:rPr>
          <w:rStyle w:val="text"/>
          <w:rFonts w:ascii="Arial Narrow" w:hAnsi="Arial Narrow"/>
          <w:color w:val="000000" w:themeColor="text1"/>
          <w:sz w:val="20"/>
          <w:shd w:val="clear" w:color="auto" w:fill="FFF2CC" w:themeFill="accent4" w:themeFillTint="33"/>
        </w:rPr>
        <w:t xml:space="preserve">The treating psychiatrist makes a </w:t>
      </w:r>
      <w:r w:rsidRPr="009B3A26">
        <w:rPr>
          <w:rStyle w:val="text"/>
          <w:rFonts w:ascii="Arial Narrow" w:hAnsi="Arial Narrow"/>
          <w:color w:val="000000" w:themeColor="text1"/>
          <w:sz w:val="20"/>
          <w:highlight w:val="yellow"/>
          <w:shd w:val="clear" w:color="auto" w:fill="FFF2CC" w:themeFill="accent4" w:themeFillTint="33"/>
        </w:rPr>
        <w:t>clinical judgment</w:t>
      </w:r>
      <w:r w:rsidRPr="009B3A26">
        <w:rPr>
          <w:rStyle w:val="text"/>
          <w:rFonts w:ascii="Arial Narrow" w:hAnsi="Arial Narrow"/>
          <w:color w:val="000000" w:themeColor="text1"/>
          <w:sz w:val="20"/>
          <w:shd w:val="clear" w:color="auto" w:fill="FFF2CC" w:themeFill="accent4" w:themeFillTint="33"/>
        </w:rPr>
        <w:t xml:space="preserve"> that the patient has the apparent capability to commit such an act</w:t>
      </w:r>
      <w:r w:rsidRPr="001341E8">
        <w:rPr>
          <w:rStyle w:val="text"/>
          <w:rFonts w:ascii="Arial Narrow" w:hAnsi="Arial Narrow"/>
          <w:color w:val="000000" w:themeColor="text1"/>
          <w:sz w:val="20"/>
          <w:shd w:val="clear" w:color="auto" w:fill="FFFFFF"/>
        </w:rPr>
        <w:t xml:space="preserve"> </w:t>
      </w:r>
      <w:r w:rsidRPr="009B3A26">
        <w:rPr>
          <w:rStyle w:val="text"/>
          <w:rFonts w:ascii="Arial Narrow" w:hAnsi="Arial Narrow"/>
          <w:color w:val="000000" w:themeColor="text1"/>
          <w:sz w:val="20"/>
          <w:shd w:val="clear" w:color="auto" w:fill="FFF2CC" w:themeFill="accent4" w:themeFillTint="33"/>
        </w:rPr>
        <w:t xml:space="preserve">and that it is more likely than not that in the near future the patient will carry out that threat, </w:t>
      </w:r>
      <w:r w:rsidRPr="009B3A26">
        <w:rPr>
          <w:rFonts w:ascii="Arial Narrow" w:hAnsi="Arial Narrow"/>
          <w:color w:val="000000" w:themeColor="text1"/>
          <w:sz w:val="20"/>
          <w:szCs w:val="20"/>
          <w:shd w:val="clear" w:color="auto" w:fill="FFF2CC" w:themeFill="accent4" w:themeFillTint="33"/>
        </w:rPr>
        <w:t xml:space="preserve">the psychiatrist </w:t>
      </w:r>
      <w:r w:rsidRPr="009B3A26">
        <w:rPr>
          <w:rFonts w:ascii="Arial Narrow" w:hAnsi="Arial Narrow"/>
          <w:color w:val="000000" w:themeColor="text1"/>
          <w:sz w:val="20"/>
          <w:szCs w:val="20"/>
          <w:highlight w:val="yellow"/>
          <w:u w:val="single"/>
          <w:shd w:val="clear" w:color="auto" w:fill="FFF2CC" w:themeFill="accent4" w:themeFillTint="33"/>
        </w:rPr>
        <w:t>may</w:t>
      </w:r>
      <w:r w:rsidRPr="009B3A26">
        <w:rPr>
          <w:rFonts w:ascii="Arial Narrow" w:hAnsi="Arial Narrow"/>
          <w:color w:val="000000" w:themeColor="text1"/>
          <w:sz w:val="20"/>
          <w:szCs w:val="20"/>
          <w:shd w:val="clear" w:color="auto" w:fill="FFF2CC" w:themeFill="accent4" w:themeFillTint="33"/>
        </w:rPr>
        <w:t xml:space="preserve"> disclose patient</w:t>
      </w:r>
      <w:r w:rsidRPr="001341E8">
        <w:rPr>
          <w:rFonts w:ascii="Arial Narrow" w:hAnsi="Arial Narrow"/>
          <w:color w:val="000000" w:themeColor="text1"/>
          <w:sz w:val="20"/>
          <w:szCs w:val="20"/>
          <w:shd w:val="clear" w:color="auto" w:fill="FFFFFF"/>
        </w:rPr>
        <w:t xml:space="preserve"> </w:t>
      </w:r>
      <w:r w:rsidRPr="009B3A26">
        <w:rPr>
          <w:rFonts w:ascii="Arial Narrow" w:hAnsi="Arial Narrow"/>
          <w:color w:val="000000" w:themeColor="text1"/>
          <w:sz w:val="20"/>
          <w:szCs w:val="20"/>
          <w:shd w:val="clear" w:color="auto" w:fill="FFF2CC" w:themeFill="accent4" w:themeFillTint="33"/>
        </w:rPr>
        <w:t>communications to the extent necessary to warn any potential victim or to communicate the threat to a law enforcement agency.</w:t>
      </w:r>
      <w:r w:rsidRPr="001341E8">
        <w:rPr>
          <w:rFonts w:ascii="Arial Narrow" w:hAnsi="Arial Narrow"/>
          <w:color w:val="000000" w:themeColor="text1"/>
          <w:sz w:val="20"/>
          <w:szCs w:val="20"/>
          <w:shd w:val="clear" w:color="auto" w:fill="FFFFFF"/>
        </w:rPr>
        <w:t xml:space="preserve"> </w:t>
      </w:r>
      <w:r w:rsidRPr="009B3A26">
        <w:rPr>
          <w:rFonts w:ascii="Arial Narrow" w:hAnsi="Arial Narrow"/>
          <w:color w:val="000000" w:themeColor="text1"/>
          <w:sz w:val="20"/>
          <w:szCs w:val="20"/>
          <w:shd w:val="clear" w:color="auto" w:fill="FFF2CC" w:themeFill="accent4" w:themeFillTint="33"/>
        </w:rPr>
        <w:t>No civil or criminal action shall be instituted, and there shall be no liability on account of disclosure of otherwise confidential</w:t>
      </w:r>
      <w:r w:rsidRPr="001341E8">
        <w:rPr>
          <w:rFonts w:ascii="Arial Narrow" w:hAnsi="Arial Narrow"/>
          <w:color w:val="000000" w:themeColor="text1"/>
          <w:sz w:val="20"/>
          <w:szCs w:val="20"/>
          <w:shd w:val="clear" w:color="auto" w:fill="FFFFFF"/>
        </w:rPr>
        <w:t xml:space="preserve"> </w:t>
      </w:r>
      <w:r w:rsidRPr="009B3A26">
        <w:rPr>
          <w:rFonts w:ascii="Arial Narrow" w:hAnsi="Arial Narrow"/>
          <w:color w:val="000000" w:themeColor="text1"/>
          <w:sz w:val="20"/>
          <w:szCs w:val="20"/>
          <w:shd w:val="clear" w:color="auto" w:fill="FFF2CC" w:themeFill="accent4" w:themeFillTint="33"/>
        </w:rPr>
        <w:t>communications by a psychiatrist in disclosing a threat pursuant to this section</w:t>
      </w:r>
      <w:r w:rsidRPr="001341E8">
        <w:rPr>
          <w:rFonts w:ascii="Arial Narrow" w:hAnsi="Arial Narrow"/>
          <w:color w:val="000000" w:themeColor="text1"/>
          <w:sz w:val="20"/>
          <w:szCs w:val="20"/>
          <w:shd w:val="clear" w:color="auto" w:fill="FFFFFF"/>
        </w:rPr>
        <w:t>.</w:t>
      </w:r>
    </w:p>
    <w:p w:rsidR="009B3A26" w:rsidRPr="009B3A26" w:rsidRDefault="009B3A26" w:rsidP="009B3A26">
      <w:pPr>
        <w:ind w:firstLine="240"/>
        <w:rPr>
          <w:rFonts w:ascii="Arial Narrow" w:hAnsi="Arial Narrow"/>
          <w:i/>
          <w:color w:val="FF0000"/>
          <w:sz w:val="20"/>
          <w:szCs w:val="20"/>
          <w:shd w:val="clear" w:color="auto" w:fill="FFFFFF"/>
        </w:rPr>
      </w:pPr>
      <w:r w:rsidRPr="009B3A26">
        <w:rPr>
          <w:rFonts w:ascii="Arial Narrow" w:hAnsi="Arial Narrow"/>
          <w:i/>
          <w:color w:val="FF0000"/>
          <w:sz w:val="20"/>
          <w:szCs w:val="20"/>
          <w:shd w:val="clear" w:color="auto" w:fill="FFFFFF"/>
        </w:rPr>
        <w:t xml:space="preserve">This supersedes the statement above </w:t>
      </w:r>
      <w:r w:rsidRPr="009B3A26">
        <w:rPr>
          <w:rFonts w:ascii="Arial Narrow" w:hAnsi="Arial Narrow"/>
          <w:i/>
          <w:color w:val="FF0000"/>
          <w:sz w:val="20"/>
          <w:szCs w:val="20"/>
        </w:rPr>
        <w:t xml:space="preserve">in </w:t>
      </w:r>
      <w:r w:rsidRPr="009B3A26">
        <w:rPr>
          <w:rFonts w:ascii="Arial Narrow" w:hAnsi="Arial Narrow"/>
          <w:b/>
          <w:bCs/>
          <w:i/>
          <w:color w:val="FF0000"/>
          <w:sz w:val="20"/>
          <w:szCs w:val="20"/>
        </w:rPr>
        <w:t>491.0147 Confidentiality and privileged communications</w:t>
      </w:r>
      <w:r>
        <w:rPr>
          <w:rFonts w:ascii="Arial Narrow" w:hAnsi="Arial Narrow"/>
          <w:b/>
          <w:bCs/>
          <w:i/>
          <w:color w:val="FF0000"/>
          <w:sz w:val="20"/>
          <w:szCs w:val="20"/>
        </w:rPr>
        <w:t>.</w:t>
      </w:r>
      <w:r w:rsidRPr="009B3A26">
        <w:rPr>
          <w:rFonts w:ascii="Arial Narrow" w:hAnsi="Arial Narrow"/>
          <w:i/>
          <w:color w:val="FF0000"/>
          <w:sz w:val="20"/>
          <w:szCs w:val="20"/>
          <w:shd w:val="clear" w:color="auto" w:fill="FFFFFF"/>
        </w:rPr>
        <w:t xml:space="preserve"> </w:t>
      </w:r>
      <w:r>
        <w:rPr>
          <w:rFonts w:ascii="Arial Narrow" w:hAnsi="Arial Narrow"/>
          <w:i/>
          <w:color w:val="FF0000"/>
          <w:sz w:val="20"/>
          <w:szCs w:val="20"/>
          <w:shd w:val="clear" w:color="auto" w:fill="FFFFFF"/>
        </w:rPr>
        <w:t>Notice the use of the word “may” vs. “will” or “must”</w:t>
      </w:r>
    </w:p>
    <w:p w:rsidR="009B3A26" w:rsidRPr="001341E8" w:rsidRDefault="009B3A26" w:rsidP="009B3A26">
      <w:pPr>
        <w:ind w:firstLine="200"/>
        <w:rPr>
          <w:rFonts w:ascii="Arial Narrow" w:hAnsi="Arial Narrow"/>
          <w:color w:val="000000" w:themeColor="text1"/>
          <w:sz w:val="20"/>
          <w:szCs w:val="20"/>
        </w:rPr>
      </w:pPr>
      <w:r w:rsidRPr="001341E8">
        <w:rPr>
          <w:rStyle w:val="historytitle"/>
          <w:rFonts w:ascii="Arial Narrow" w:hAnsi="Arial Narrow"/>
          <w:bCs/>
          <w:color w:val="000000" w:themeColor="text1"/>
          <w:sz w:val="20"/>
          <w:szCs w:val="17"/>
        </w:rPr>
        <w:t>History.</w:t>
      </w:r>
      <w:r w:rsidRPr="001341E8">
        <w:rPr>
          <w:rStyle w:val="emdash"/>
          <w:rFonts w:ascii="Arial Narrow" w:hAnsi="Arial Narrow"/>
          <w:color w:val="000000" w:themeColor="text1"/>
          <w:sz w:val="20"/>
          <w:szCs w:val="17"/>
        </w:rPr>
        <w:t>—</w:t>
      </w:r>
      <w:r w:rsidRPr="001341E8">
        <w:rPr>
          <w:rStyle w:val="historytext"/>
          <w:rFonts w:ascii="Arial Narrow" w:hAnsi="Arial Narrow"/>
          <w:color w:val="000000" w:themeColor="text1"/>
          <w:sz w:val="20"/>
          <w:szCs w:val="17"/>
        </w:rPr>
        <w:t>s. 10, ch. 88-1; s. 33, ch. 92-149; s. 43, ch. 96-169; s. 83, ch. 97-261; s. 81, ch. 2000-160.</w:t>
      </w:r>
    </w:p>
    <w:p w:rsidR="009B3A26" w:rsidRDefault="009B3A26" w:rsidP="00433A89">
      <w:pPr>
        <w:ind w:firstLine="200"/>
        <w:rPr>
          <w:rStyle w:val="text"/>
          <w:rFonts w:ascii="Arial Narrow" w:hAnsi="Arial Narrow"/>
          <w:color w:val="000000" w:themeColor="text1"/>
          <w:sz w:val="20"/>
          <w:szCs w:val="17"/>
        </w:rPr>
      </w:pPr>
      <w:r w:rsidRPr="001341E8">
        <w:rPr>
          <w:rStyle w:val="notetitle"/>
          <w:rFonts w:ascii="Arial Narrow" w:hAnsi="Arial Narrow"/>
          <w:bCs/>
          <w:color w:val="000000" w:themeColor="text1"/>
          <w:sz w:val="20"/>
          <w:szCs w:val="17"/>
        </w:rPr>
        <w:t>Note.</w:t>
      </w:r>
      <w:r w:rsidRPr="001341E8">
        <w:rPr>
          <w:rStyle w:val="emdash"/>
          <w:rFonts w:ascii="Arial Narrow" w:hAnsi="Arial Narrow"/>
          <w:color w:val="000000" w:themeColor="text1"/>
          <w:sz w:val="20"/>
          <w:szCs w:val="17"/>
        </w:rPr>
        <w:t>—</w:t>
      </w:r>
      <w:r w:rsidRPr="001341E8">
        <w:rPr>
          <w:rStyle w:val="text"/>
          <w:rFonts w:ascii="Arial Narrow" w:hAnsi="Arial Narrow"/>
          <w:color w:val="000000" w:themeColor="text1"/>
          <w:sz w:val="20"/>
          <w:szCs w:val="17"/>
        </w:rPr>
        <w:t>Former s. 455.2415; s. 455.671.</w:t>
      </w:r>
    </w:p>
    <w:p w:rsidR="00433A89" w:rsidRPr="00433A89" w:rsidRDefault="00433A89" w:rsidP="00433A89">
      <w:pPr>
        <w:ind w:firstLine="200"/>
        <w:rPr>
          <w:rFonts w:ascii="Arial Narrow" w:hAnsi="Arial Narrow"/>
          <w:color w:val="000000" w:themeColor="text1"/>
          <w:sz w:val="20"/>
          <w:szCs w:val="20"/>
        </w:rPr>
      </w:pPr>
    </w:p>
    <w:p w:rsidR="00C21C00" w:rsidRDefault="00C21C00"/>
    <w:p w:rsidR="00C21C00" w:rsidRPr="00FD1944" w:rsidRDefault="00C21C00" w:rsidP="00C21C00">
      <w:pPr>
        <w:jc w:val="center"/>
        <w:rPr>
          <w:b/>
          <w:sz w:val="28"/>
        </w:rPr>
      </w:pPr>
      <w:r w:rsidRPr="00FD1944">
        <w:rPr>
          <w:b/>
          <w:sz w:val="28"/>
        </w:rPr>
        <w:t>Florida Statute Chapter 90</w:t>
      </w:r>
      <w:r w:rsidR="00613B91">
        <w:rPr>
          <w:b/>
          <w:sz w:val="28"/>
        </w:rPr>
        <w:t xml:space="preserve"> Evidence Code</w:t>
      </w:r>
    </w:p>
    <w:p w:rsidR="00C21C00" w:rsidRPr="00433A89" w:rsidRDefault="00C21C00" w:rsidP="00C21C00">
      <w:pPr>
        <w:rPr>
          <w:rFonts w:ascii="Arial Narrow" w:eastAsiaTheme="minorEastAsia" w:hAnsi="Arial Narrow"/>
          <w:bCs/>
          <w:i/>
          <w:color w:val="000000" w:themeColor="text1"/>
          <w:sz w:val="20"/>
          <w:szCs w:val="22"/>
        </w:rPr>
      </w:pPr>
      <w:r w:rsidRPr="00433A89">
        <w:rPr>
          <w:rFonts w:ascii="Arial Narrow" w:eastAsiaTheme="minorEastAsia" w:hAnsi="Arial Narrow"/>
          <w:bCs/>
          <w:i/>
          <w:color w:val="000000" w:themeColor="text1"/>
          <w:sz w:val="20"/>
          <w:szCs w:val="22"/>
        </w:rPr>
        <w:t xml:space="preserve">NOTE: This statute makes therapeutic records more difficult to access </w:t>
      </w:r>
      <w:r w:rsidRPr="00433A89">
        <w:rPr>
          <w:rFonts w:ascii="Arial Narrow" w:hAnsi="Arial Narrow"/>
          <w:bCs/>
          <w:i/>
          <w:color w:val="000000" w:themeColor="text1"/>
          <w:sz w:val="20"/>
          <w:szCs w:val="22"/>
        </w:rPr>
        <w:t xml:space="preserve">in </w:t>
      </w:r>
      <w:r w:rsidRPr="00433A89">
        <w:rPr>
          <w:rFonts w:ascii="Arial Narrow" w:eastAsiaTheme="minorEastAsia" w:hAnsi="Arial Narrow"/>
          <w:bCs/>
          <w:i/>
          <w:color w:val="000000" w:themeColor="text1"/>
          <w:sz w:val="20"/>
          <w:szCs w:val="22"/>
        </w:rPr>
        <w:t>court without client permission.</w:t>
      </w:r>
    </w:p>
    <w:p w:rsidR="00C21C00" w:rsidRDefault="00C21C00" w:rsidP="00C21C00">
      <w:pPr>
        <w:rPr>
          <w:rFonts w:ascii="Arial Narrow" w:hAnsi="Arial Narrow"/>
          <w:color w:val="000000" w:themeColor="text1"/>
          <w:sz w:val="20"/>
          <w:szCs w:val="22"/>
        </w:rPr>
      </w:pPr>
    </w:p>
    <w:p w:rsidR="00C21C00" w:rsidRPr="00774523" w:rsidRDefault="00C21C00" w:rsidP="00C21C00">
      <w:pPr>
        <w:rPr>
          <w:rStyle w:val="sectionbody"/>
          <w:rFonts w:ascii="Arial Narrow" w:hAnsi="Arial Narrow"/>
          <w:color w:val="000000" w:themeColor="text1"/>
          <w:sz w:val="21"/>
          <w:szCs w:val="20"/>
          <w:shd w:val="clear" w:color="auto" w:fill="FFFFFF"/>
        </w:rPr>
      </w:pPr>
      <w:r w:rsidRPr="00774523">
        <w:rPr>
          <w:rStyle w:val="sectionnumber"/>
          <w:rFonts w:ascii="Arial Narrow" w:hAnsi="Arial Narrow"/>
          <w:b/>
          <w:bCs/>
          <w:color w:val="000000" w:themeColor="text1"/>
          <w:sz w:val="21"/>
          <w:szCs w:val="20"/>
          <w:shd w:val="clear" w:color="auto" w:fill="FFFFFF"/>
        </w:rPr>
        <w:t>90.503</w:t>
      </w:r>
      <w:r w:rsidRPr="00774523">
        <w:rPr>
          <w:rStyle w:val="sectionnumber"/>
          <w:rFonts w:ascii="Arial Narrow" w:hAnsi="Arial Narrow"/>
          <w:b/>
          <w:bCs/>
          <w:color w:val="000000" w:themeColor="text1"/>
          <w:sz w:val="21"/>
          <w:szCs w:val="20"/>
          <w:shd w:val="clear" w:color="auto" w:fill="FFFFFF"/>
        </w:rPr>
        <w:t> </w:t>
      </w:r>
      <w:r w:rsidRPr="00E3009D">
        <w:rPr>
          <w:rStyle w:val="catchlinetext"/>
          <w:rFonts w:ascii="Arial Narrow" w:hAnsi="Arial Narrow"/>
          <w:b/>
          <w:bCs/>
          <w:color w:val="000000" w:themeColor="text1"/>
          <w:sz w:val="21"/>
          <w:szCs w:val="20"/>
          <w:highlight w:val="yellow"/>
          <w:shd w:val="clear" w:color="auto" w:fill="FFFFFF"/>
        </w:rPr>
        <w:t>Psychotherapist-patient privilege.</w:t>
      </w:r>
    </w:p>
    <w:p w:rsidR="00C21C00" w:rsidRPr="00C80F28" w:rsidRDefault="00C21C00" w:rsidP="00C21C00">
      <w:pPr>
        <w:ind w:firstLine="240"/>
        <w:rPr>
          <w:rFonts w:ascii="Arial Narrow" w:hAnsi="Arial Narrow"/>
          <w:color w:val="000000" w:themeColor="text1"/>
          <w:sz w:val="20"/>
        </w:rPr>
      </w:pPr>
      <w:r w:rsidRPr="00C80F28">
        <w:rPr>
          <w:rStyle w:val="number"/>
          <w:rFonts w:ascii="Arial Narrow" w:hAnsi="Arial Narrow"/>
          <w:color w:val="000000" w:themeColor="text1"/>
          <w:sz w:val="20"/>
          <w:szCs w:val="20"/>
          <w:shd w:val="clear" w:color="auto" w:fill="FFFFFF"/>
        </w:rPr>
        <w:t>(1)</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For purposes of this section: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(a)</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 “psychotherapist” is:</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1.</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 person authorized to practice medicine in any state or nation, or reasonably believed by the patient so to be, who is engaged in the diagnosis or treatment of a mental or emotional condition, including alcoholism and other drug addiction;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2.</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 person licensed or certified as a psychologist under the laws of any state or nation, who is engaged primarily in the diagnosis or treatment of a mental or emotional condition, including alcoholism and other drug addiction;</w:t>
      </w:r>
    </w:p>
    <w:p w:rsidR="00C21C00" w:rsidRPr="00E3009D" w:rsidRDefault="00C21C00" w:rsidP="00C21C00">
      <w:pPr>
        <w:ind w:firstLine="240"/>
        <w:rPr>
          <w:rFonts w:ascii="Arial Narrow" w:hAnsi="Arial Narrow"/>
          <w:color w:val="000000" w:themeColor="text1"/>
          <w:sz w:val="20"/>
          <w:szCs w:val="20"/>
          <w:u w:val="single"/>
          <w:shd w:val="clear" w:color="auto" w:fill="FFFFFF"/>
        </w:rPr>
      </w:pPr>
      <w:r w:rsidRPr="00C80F28">
        <w:rPr>
          <w:rStyle w:val="number"/>
          <w:rFonts w:ascii="Arial Narrow" w:hAnsi="Arial Narrow"/>
          <w:color w:val="000000" w:themeColor="text1"/>
          <w:sz w:val="20"/>
          <w:szCs w:val="20"/>
          <w:shd w:val="clear" w:color="auto" w:fill="FFFFFF"/>
        </w:rPr>
        <w:t>3.</w:t>
      </w:r>
      <w:r w:rsidRPr="00C80F28">
        <w:rPr>
          <w:rStyle w:val="number"/>
          <w:rFonts w:ascii="Arial Narrow" w:hAnsi="Arial Narrow"/>
          <w:color w:val="000000" w:themeColor="text1"/>
          <w:sz w:val="20"/>
          <w:szCs w:val="20"/>
          <w:shd w:val="clear" w:color="auto" w:fill="FFFFFF"/>
        </w:rPr>
        <w:t> </w:t>
      </w:r>
      <w:r w:rsidRPr="00E3009D">
        <w:rPr>
          <w:rStyle w:val="text"/>
          <w:rFonts w:ascii="Arial Narrow" w:hAnsi="Arial Narrow"/>
          <w:color w:val="000000" w:themeColor="text1"/>
          <w:sz w:val="20"/>
          <w:szCs w:val="20"/>
          <w:shd w:val="clear" w:color="auto" w:fill="FFF2CC" w:themeFill="accent4" w:themeFillTint="33"/>
        </w:rPr>
        <w:t>A person licensed or certified as a clinical social worker, marriage and family therapist, or mental health counselor under the laws of this state, who is engaged primarily in the diagnosis or treatment of a mental or emotional condition, including alcoholism and other drug addiction</w:t>
      </w:r>
      <w:r w:rsidRPr="00E3009D">
        <w:rPr>
          <w:rStyle w:val="text"/>
          <w:rFonts w:ascii="Arial Narrow" w:hAnsi="Arial Narrow"/>
          <w:color w:val="000000" w:themeColor="text1"/>
          <w:sz w:val="20"/>
          <w:szCs w:val="20"/>
          <w:u w:val="single"/>
          <w:shd w:val="clear" w:color="auto" w:fill="FFFFFF"/>
        </w:rPr>
        <w:t>;</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4.</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Treatment personnel of facilities licensed by the state pursuant to chapter 394, chapter 395, or chapter 397, of facilities designated by the Department of Children and Families pursuant to chapter 394 as treatment facilities, or of facilities defined as community mental health centers pursuant to s. 394.907(1), who are engaged primarily in the diagnosis or treatment of a mental or emotional condition, including alcoholism and other drug addiction; or</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5.</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An advanced practice registered nurse licensed under s. 464.012, whose primary scope of practice is the diagnosis or treatment of mental or emotional conditions, including chemical abuse, and limited only to actions performed in accordance with part I of chapter 464.</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(b)</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 “patient” is a person who consults, or is interviewed by, a psychotherapist for purposes of diagnosis or treatment of a mental or emotional condition, including alcoholism and other drug addiction.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(c)</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 communication between psychotherapist and patient is “confidential” if it is not intended to be disclosed to third persons other than: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1.</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Those persons present to further the interest of the patient in the consultation, examination, or interview.</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2.</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Those persons necessary for the transmission of the communication.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3.</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Those persons who are participating in the diagnosis and treatment under the direction of the psychotherapist.</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(2)</w:t>
      </w:r>
      <w:r w:rsidRPr="00C80F28">
        <w:rPr>
          <w:rStyle w:val="number"/>
          <w:rFonts w:ascii="Arial Narrow" w:hAnsi="Arial Narrow"/>
          <w:color w:val="000000" w:themeColor="text1"/>
          <w:sz w:val="20"/>
          <w:szCs w:val="20"/>
          <w:shd w:val="clear" w:color="auto" w:fill="FFFFFF"/>
        </w:rPr>
        <w:t> </w:t>
      </w:r>
      <w:r w:rsidRPr="00E3009D">
        <w:rPr>
          <w:rStyle w:val="text"/>
          <w:rFonts w:ascii="Arial Narrow" w:hAnsi="Arial Narrow"/>
          <w:color w:val="000000" w:themeColor="text1"/>
          <w:sz w:val="20"/>
          <w:szCs w:val="20"/>
          <w:shd w:val="clear" w:color="auto" w:fill="FFF2CC" w:themeFill="accent4" w:themeFillTint="33"/>
        </w:rPr>
        <w:t>A patient has a privilege to refuse to disclose, and to prevent any other person from disclosing, confidential communications or records made for the purpose of diagnosis or treatment of the patient’s mental or emotional condition, including alcoholism and other drug addiction, between the patient and the psychotherapist, or persons who are participating in the diagnosis or treatment under the direction of the psychotherapist. This privilege includes any diagnosis made, and advice given, by the psychotherapist in the course of that relationship.</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(3)</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The privilege may be claimed by:</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(a)</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The patient or the patient’s attorney on the patient’s behalf.</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(b)</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A guardian or conservator of the patient.</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(c)</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The personal representative of a deceased patient.</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(d)</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The psychotherapist, but only on behalf of the patient. The authority of a psychotherapist to claim the privilege is presumed in the absence of evidence to the contrary.</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(4)</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There is no privilege under this section: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(a)</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For communications relevant to an issue in proceedings to compel hospitalization of a patient for mental illness, if the psychotherapist in the course of diagnosis or treatment has reasonable cause to believe the patient is in need of hospitalization.</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(b)</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For communications made in the course of a court-ordered examination of the mental or emotional condition of the patient.</w:t>
      </w:r>
    </w:p>
    <w:p w:rsidR="00C21C00" w:rsidRPr="00C80F28" w:rsidRDefault="00C21C00" w:rsidP="00C21C00">
      <w:pPr>
        <w:ind w:firstLine="240"/>
        <w:rPr>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(c)</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For communications relevant to an issue of the mental or emotional condition of the patient in any proceeding in which the patient relies upon the condition as an element of his or her claim or defense or, after the patient’s death, in any proceeding in which any party relies upon the condition as an element of the party’s claim or defense.</w:t>
      </w:r>
    </w:p>
    <w:p w:rsidR="00C21C00" w:rsidRDefault="00C21C00" w:rsidP="00C21C00">
      <w:pPr>
        <w:shd w:val="clear" w:color="auto" w:fill="FFFFFF"/>
        <w:ind w:firstLine="200"/>
        <w:rPr>
          <w:rStyle w:val="historytext"/>
          <w:rFonts w:ascii="Arial Narrow" w:hAnsi="Arial Narrow"/>
          <w:color w:val="000000" w:themeColor="text1"/>
          <w:sz w:val="20"/>
          <w:szCs w:val="17"/>
        </w:rPr>
      </w:pPr>
      <w:r w:rsidRPr="00C80F28">
        <w:rPr>
          <w:rStyle w:val="historytitle"/>
          <w:rFonts w:ascii="Arial Narrow" w:hAnsi="Arial Narrow"/>
          <w:b/>
          <w:bCs/>
          <w:color w:val="000000" w:themeColor="text1"/>
          <w:sz w:val="20"/>
          <w:szCs w:val="17"/>
        </w:rPr>
        <w:t>History.</w:t>
      </w:r>
      <w:r w:rsidRPr="00C80F28">
        <w:rPr>
          <w:rStyle w:val="emdash"/>
          <w:rFonts w:ascii="Arial Narrow" w:hAnsi="Arial Narrow"/>
          <w:color w:val="000000" w:themeColor="text1"/>
          <w:sz w:val="20"/>
          <w:szCs w:val="17"/>
        </w:rPr>
        <w:t>—</w:t>
      </w:r>
      <w:r w:rsidRPr="00C80F28">
        <w:rPr>
          <w:rStyle w:val="historytext"/>
          <w:rFonts w:ascii="Arial Narrow" w:hAnsi="Arial Narrow"/>
          <w:color w:val="000000" w:themeColor="text1"/>
          <w:sz w:val="20"/>
          <w:szCs w:val="17"/>
        </w:rPr>
        <w:t>s. 1, ch. 76-237; s. 1, ch. 77-77; s. 22, ch. 78-361; s. 1, ch. 78-379; s. 40, ch. 90-347; s. 1, ch. 92-57; s. 19, ch. 93-39; s. 475, ch. 95-147; s. 28, ch. 99-2; s. 5, ch. 99-8; s. 1, ch. 2006-204; s. 30, ch. 2014-19; s. 7, ch. 2018-106.</w:t>
      </w:r>
    </w:p>
    <w:p w:rsidR="00613B91" w:rsidRPr="00C80F28" w:rsidRDefault="00613B91" w:rsidP="00C21C00">
      <w:pPr>
        <w:shd w:val="clear" w:color="auto" w:fill="FFFFFF"/>
        <w:ind w:firstLine="200"/>
        <w:rPr>
          <w:rStyle w:val="historytext"/>
          <w:rFonts w:ascii="Arial Narrow" w:hAnsi="Arial Narrow"/>
          <w:color w:val="000000" w:themeColor="text1"/>
          <w:sz w:val="20"/>
          <w:szCs w:val="17"/>
        </w:rPr>
      </w:pPr>
    </w:p>
    <w:p w:rsidR="00E3009D" w:rsidRDefault="00E3009D" w:rsidP="00C21C00">
      <w:pPr>
        <w:shd w:val="clear" w:color="auto" w:fill="FFFFFF"/>
        <w:ind w:firstLine="200"/>
        <w:jc w:val="center"/>
        <w:rPr>
          <w:rFonts w:ascii="Arial Narrow" w:hAnsi="Arial Narrow"/>
          <w:b/>
          <w:color w:val="000000" w:themeColor="text1"/>
          <w:sz w:val="28"/>
          <w:szCs w:val="20"/>
        </w:rPr>
      </w:pPr>
    </w:p>
    <w:p w:rsidR="00C21C00" w:rsidRPr="00613B91" w:rsidRDefault="00C21C00" w:rsidP="00613B91">
      <w:pPr>
        <w:shd w:val="clear" w:color="auto" w:fill="FFFFFF"/>
        <w:jc w:val="center"/>
        <w:rPr>
          <w:rFonts w:ascii="Arial Narrow" w:hAnsi="Arial Narrow"/>
          <w:b/>
          <w:color w:val="000000" w:themeColor="text1"/>
          <w:sz w:val="28"/>
          <w:szCs w:val="22"/>
        </w:rPr>
      </w:pPr>
      <w:r w:rsidRPr="00FD1944">
        <w:rPr>
          <w:rFonts w:ascii="Arial Narrow" w:hAnsi="Arial Narrow"/>
          <w:b/>
          <w:color w:val="000000" w:themeColor="text1"/>
          <w:sz w:val="28"/>
          <w:szCs w:val="20"/>
        </w:rPr>
        <w:t>Florida Statute Chapter 394</w:t>
      </w:r>
      <w:r w:rsidR="00613B91">
        <w:rPr>
          <w:rFonts w:ascii="Arial Narrow" w:hAnsi="Arial Narrow"/>
          <w:b/>
          <w:color w:val="000000" w:themeColor="text1"/>
          <w:sz w:val="28"/>
          <w:szCs w:val="20"/>
        </w:rPr>
        <w:t xml:space="preserve"> </w:t>
      </w:r>
      <w:r w:rsidR="00613B91" w:rsidRPr="001341E8">
        <w:rPr>
          <w:rFonts w:ascii="Arial Narrow" w:hAnsi="Arial Narrow"/>
          <w:b/>
          <w:color w:val="000000" w:themeColor="text1"/>
          <w:sz w:val="28"/>
          <w:szCs w:val="22"/>
        </w:rPr>
        <w:t xml:space="preserve">Mental Health </w:t>
      </w:r>
      <w:r w:rsidR="00613B91" w:rsidRPr="001341E8">
        <w:rPr>
          <w:rFonts w:ascii="Arial Narrow" w:hAnsi="Arial Narrow"/>
          <w:i/>
          <w:color w:val="000000" w:themeColor="text1"/>
          <w:sz w:val="28"/>
          <w:szCs w:val="22"/>
        </w:rPr>
        <w:t>(aka Baker Act)</w:t>
      </w:r>
    </w:p>
    <w:p w:rsidR="00C21C00" w:rsidRPr="00C21C00" w:rsidRDefault="00C21C00" w:rsidP="00C21C00">
      <w:pPr>
        <w:shd w:val="clear" w:color="auto" w:fill="FFFFFF"/>
        <w:ind w:firstLine="200"/>
        <w:rPr>
          <w:rFonts w:ascii="Arial Narrow" w:hAnsi="Arial Narrow"/>
          <w:color w:val="000000" w:themeColor="text1"/>
          <w:sz w:val="20"/>
          <w:szCs w:val="20"/>
        </w:rPr>
      </w:pPr>
    </w:p>
    <w:p w:rsidR="00C21C00" w:rsidRPr="00E3009D" w:rsidRDefault="00C21C00" w:rsidP="00C21C00">
      <w:pPr>
        <w:ind w:firstLine="200"/>
        <w:rPr>
          <w:rFonts w:ascii="Arial Narrow" w:hAnsi="Arial Narrow"/>
          <w:color w:val="000000" w:themeColor="text1"/>
          <w:sz w:val="20"/>
          <w:szCs w:val="20"/>
          <w:shd w:val="clear" w:color="auto" w:fill="FFFFFF"/>
        </w:rPr>
      </w:pPr>
      <w:r w:rsidRPr="00E3009D">
        <w:rPr>
          <w:rFonts w:ascii="Arial Narrow" w:hAnsi="Arial Narrow"/>
          <w:bCs/>
          <w:color w:val="000000" w:themeColor="text1"/>
          <w:sz w:val="20"/>
          <w:szCs w:val="20"/>
          <w:shd w:val="clear" w:color="auto" w:fill="FFFFFF"/>
        </w:rPr>
        <w:t>394.4615</w:t>
      </w:r>
      <w:r w:rsidRPr="00E3009D">
        <w:rPr>
          <w:rFonts w:ascii="Arial Narrow" w:hAnsi="Arial Narrow"/>
          <w:bCs/>
          <w:color w:val="000000" w:themeColor="text1"/>
          <w:sz w:val="20"/>
          <w:szCs w:val="20"/>
          <w:shd w:val="clear" w:color="auto" w:fill="FFFFFF"/>
        </w:rPr>
        <w:t> </w:t>
      </w:r>
      <w:r w:rsidRPr="00E3009D">
        <w:rPr>
          <w:rFonts w:ascii="Arial Narrow" w:hAnsi="Arial Narrow"/>
          <w:bCs/>
          <w:color w:val="000000" w:themeColor="text1"/>
          <w:sz w:val="20"/>
          <w:szCs w:val="20"/>
          <w:highlight w:val="yellow"/>
          <w:shd w:val="clear" w:color="auto" w:fill="FFFFFF"/>
        </w:rPr>
        <w:t>Clinical records; confidentiality</w:t>
      </w:r>
      <w:r w:rsidRPr="00E3009D">
        <w:rPr>
          <w:rFonts w:ascii="Arial Narrow" w:hAnsi="Arial Narrow"/>
          <w:bCs/>
          <w:color w:val="000000" w:themeColor="text1"/>
          <w:sz w:val="20"/>
          <w:szCs w:val="20"/>
          <w:shd w:val="clear" w:color="auto" w:fill="FFFFFF"/>
        </w:rPr>
        <w:t>.</w:t>
      </w:r>
    </w:p>
    <w:p w:rsidR="00C21C00" w:rsidRPr="00E3009D" w:rsidRDefault="00C21C00" w:rsidP="00C21C00">
      <w:pPr>
        <w:ind w:firstLine="240"/>
        <w:rPr>
          <w:rFonts w:ascii="Arial Narrow" w:hAnsi="Arial Narrow"/>
          <w:color w:val="000000" w:themeColor="text1"/>
        </w:rPr>
      </w:pPr>
      <w:r w:rsidRPr="00E3009D">
        <w:rPr>
          <w:rFonts w:ascii="Arial Narrow" w:hAnsi="Arial Narrow"/>
          <w:color w:val="000000" w:themeColor="text1"/>
          <w:sz w:val="20"/>
          <w:szCs w:val="20"/>
          <w:shd w:val="clear" w:color="auto" w:fill="FFFFFF"/>
        </w:rPr>
        <w:t>(1)</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FFF"/>
        </w:rPr>
        <w:t>A clinical record shall be maintained for each patient. The record shall include data pertaining to admission and such other information as may be required under rules of the department. A clinical record is confidential and exempt from the provisions of s. </w:t>
      </w:r>
      <w:hyperlink r:id="rId4" w:history="1">
        <w:r w:rsidRPr="00E3009D">
          <w:rPr>
            <w:rFonts w:ascii="Arial Narrow" w:hAnsi="Arial Narrow"/>
            <w:color w:val="000000" w:themeColor="text1"/>
            <w:sz w:val="20"/>
            <w:szCs w:val="20"/>
            <w:u w:val="single"/>
            <w:shd w:val="clear" w:color="auto" w:fill="FFFFFF"/>
          </w:rPr>
          <w:t>119.07</w:t>
        </w:r>
      </w:hyperlink>
      <w:r w:rsidRPr="00E3009D">
        <w:rPr>
          <w:rFonts w:ascii="Arial Narrow" w:hAnsi="Arial Narrow"/>
          <w:color w:val="000000" w:themeColor="text1"/>
          <w:sz w:val="20"/>
          <w:szCs w:val="20"/>
          <w:shd w:val="clear" w:color="auto" w:fill="FFFFFF"/>
        </w:rPr>
        <w:t>(1). Unless waived by express and informed consent, by the patient or the patient’s guardian or guardian advocate or, if the patient is deceased, by the patient’s personal representative or the family member who stands next in line of intestate succession, the confidential status of the clinical record shall not be lost by either authorized or unauthorized disclosure to any person, organization, or agency.</w:t>
      </w:r>
    </w:p>
    <w:p w:rsidR="00C21C00" w:rsidRPr="00E3009D" w:rsidRDefault="00C21C00" w:rsidP="00C21C00">
      <w:pPr>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(2)</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FFF"/>
        </w:rPr>
        <w:t>The clinical record shall be released when:</w:t>
      </w:r>
    </w:p>
    <w:p w:rsidR="00C21C00" w:rsidRPr="00E3009D" w:rsidRDefault="00C21C00" w:rsidP="00C21C00">
      <w:pPr>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(a)</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FFF"/>
        </w:rPr>
        <w:t>The patient or the patient’s guardian authorizes the release. The guardian or guardian advocate shall be provided access to the appropriate clinical records of the patient. The patient or the patient’s guardian or guardian advocate may authorize the release of information and clinical records to appropriate persons to ensure the continuity of the patient’s health care or mental health care.</w:t>
      </w:r>
    </w:p>
    <w:p w:rsidR="00C21C00" w:rsidRPr="00E3009D" w:rsidRDefault="00C21C00" w:rsidP="00C21C00">
      <w:pPr>
        <w:ind w:firstLine="240"/>
        <w:rPr>
          <w:rFonts w:ascii="Arial Narrow" w:hAnsi="Arial Narrow"/>
          <w:color w:val="FF0000"/>
          <w:sz w:val="20"/>
          <w:szCs w:val="20"/>
          <w:shd w:val="clear" w:color="auto" w:fill="FFFFFF"/>
        </w:rPr>
      </w:pPr>
      <w:r w:rsidRPr="00E3009D">
        <w:rPr>
          <w:rFonts w:ascii="Arial Narrow" w:hAnsi="Arial Narrow"/>
          <w:color w:val="000000" w:themeColor="text1"/>
          <w:sz w:val="20"/>
          <w:szCs w:val="20"/>
          <w:shd w:val="clear" w:color="auto" w:fill="FFFFFF"/>
        </w:rPr>
        <w:t>(b)</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2CC" w:themeFill="accent4" w:themeFillTint="33"/>
        </w:rPr>
        <w:t>The patient is represented by counsel and the records are needed by the patient’s counsel for adequate representation.</w:t>
      </w:r>
      <w:r w:rsidR="00E3009D" w:rsidRPr="00E3009D">
        <w:rPr>
          <w:rFonts w:ascii="Arial Narrow" w:hAnsi="Arial Narrow"/>
          <w:color w:val="000000" w:themeColor="text1"/>
          <w:sz w:val="20"/>
          <w:szCs w:val="20"/>
          <w:shd w:val="clear" w:color="auto" w:fill="FFF2CC" w:themeFill="accent4" w:themeFillTint="33"/>
        </w:rPr>
        <w:t xml:space="preserve"> </w:t>
      </w:r>
      <w:r w:rsidR="00E3009D" w:rsidRPr="00E3009D">
        <w:rPr>
          <w:rFonts w:ascii="Arial Narrow" w:hAnsi="Arial Narrow"/>
          <w:color w:val="FF0000"/>
          <w:sz w:val="20"/>
          <w:szCs w:val="20"/>
          <w:shd w:val="clear" w:color="auto" w:fill="FFF2CC" w:themeFill="accent4" w:themeFillTint="33"/>
        </w:rPr>
        <w:t>Note that a report (vs. a record) should be sufficient to send to an attorney; and nothing should be sent to an attorney without a signed release of information.</w:t>
      </w:r>
    </w:p>
    <w:p w:rsidR="00C21C00" w:rsidRPr="00E3009D" w:rsidRDefault="00C21C00" w:rsidP="00C21C00">
      <w:pPr>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(c)</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FFF"/>
        </w:rPr>
        <w:t>The court orders such release. In determining whether there is good cause for disclosure, the court shall weigh the need for the information to be disclosed against the possible harm of disclosure to the person to whom such information pertains.</w:t>
      </w:r>
    </w:p>
    <w:p w:rsidR="00C21C00" w:rsidRPr="00E3009D" w:rsidRDefault="00C21C00" w:rsidP="00C21C00">
      <w:pPr>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(d)</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FFF"/>
        </w:rPr>
        <w:t>The patient is committed to, or is to be returned to, the Department of Corrections from the Department of Children and Families, and the Department of Corrections requests such records. These records shall be furnished without charge to the Department of Corrections.</w:t>
      </w:r>
    </w:p>
    <w:p w:rsidR="00C21C00" w:rsidRPr="00E3009D" w:rsidRDefault="00C21C00" w:rsidP="00E3009D">
      <w:pPr>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(3)</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2CC" w:themeFill="accent4" w:themeFillTint="33"/>
        </w:rPr>
        <w:t>Information from the clinical record may be released in the following circumstances</w:t>
      </w:r>
      <w:r w:rsidRPr="00E3009D">
        <w:rPr>
          <w:rFonts w:ascii="Arial Narrow" w:hAnsi="Arial Narrow"/>
          <w:color w:val="000000" w:themeColor="text1"/>
          <w:sz w:val="20"/>
          <w:szCs w:val="20"/>
          <w:shd w:val="clear" w:color="auto" w:fill="FFFFFF"/>
        </w:rPr>
        <w:t>:</w:t>
      </w:r>
    </w:p>
    <w:p w:rsidR="00C21C00" w:rsidRPr="00E3009D" w:rsidRDefault="00C21C00" w:rsidP="00E3009D">
      <w:pPr>
        <w:shd w:val="clear" w:color="auto" w:fill="FFF2CC" w:themeFill="accent4" w:themeFillTint="33"/>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(a)</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2CC" w:themeFill="accent4" w:themeFillTint="33"/>
        </w:rPr>
        <w:t>When a patient has declared an intention to harm other persons. When such declaration has been made, the administrator may authorize the release of sufficient information to provide adequate warning to the person threatened with harm by the patient</w:t>
      </w:r>
      <w:r w:rsidRPr="00E3009D">
        <w:rPr>
          <w:rFonts w:ascii="Arial Narrow" w:hAnsi="Arial Narrow"/>
          <w:color w:val="000000" w:themeColor="text1"/>
          <w:sz w:val="20"/>
          <w:szCs w:val="20"/>
          <w:shd w:val="clear" w:color="auto" w:fill="FFFFFF"/>
        </w:rPr>
        <w:t>.</w:t>
      </w:r>
    </w:p>
    <w:p w:rsidR="00C21C00" w:rsidRPr="00E3009D" w:rsidRDefault="00C21C00" w:rsidP="00C21C00">
      <w:pPr>
        <w:ind w:firstLine="240"/>
        <w:rPr>
          <w:rFonts w:ascii="Arial Narrow" w:hAnsi="Arial Narrow"/>
          <w:color w:val="000000" w:themeColor="text1"/>
          <w:sz w:val="20"/>
          <w:szCs w:val="20"/>
          <w:shd w:val="clear" w:color="auto" w:fill="FFFFFF"/>
        </w:rPr>
      </w:pPr>
      <w:r w:rsidRPr="00E3009D">
        <w:rPr>
          <w:rFonts w:ascii="Arial Narrow" w:hAnsi="Arial Narrow"/>
          <w:color w:val="000000" w:themeColor="text1"/>
          <w:sz w:val="20"/>
          <w:szCs w:val="20"/>
          <w:shd w:val="clear" w:color="auto" w:fill="FFFFFF"/>
        </w:rPr>
        <w:t>(b)</w:t>
      </w:r>
      <w:r w:rsidRPr="00E3009D">
        <w:rPr>
          <w:rFonts w:ascii="Arial Narrow" w:hAnsi="Arial Narrow"/>
          <w:color w:val="000000" w:themeColor="text1"/>
          <w:sz w:val="20"/>
          <w:szCs w:val="20"/>
          <w:shd w:val="clear" w:color="auto" w:fill="FFFFFF"/>
        </w:rPr>
        <w:t> </w:t>
      </w:r>
      <w:r w:rsidRPr="00E3009D">
        <w:rPr>
          <w:rFonts w:ascii="Arial Narrow" w:hAnsi="Arial Narrow"/>
          <w:color w:val="000000" w:themeColor="text1"/>
          <w:sz w:val="20"/>
          <w:szCs w:val="20"/>
          <w:shd w:val="clear" w:color="auto" w:fill="FFFFFF"/>
        </w:rPr>
        <w:t>When the administrator of the facility or secretary of the department deems release to a qualified researcher as defined in administrative rule, an aftercare treatment provider, or an employee or agent of the department is necessary for treatment of the patient, maintenance of adequate records, compilation of treatment data, aftercare planning, or evaluation of programs.</w:t>
      </w:r>
    </w:p>
    <w:p w:rsidR="00C21C00" w:rsidRPr="00C21C00" w:rsidRDefault="00C21C00" w:rsidP="00C21C00">
      <w:pPr>
        <w:shd w:val="clear" w:color="auto" w:fill="FFFFFF"/>
        <w:ind w:firstLine="200"/>
        <w:rPr>
          <w:rFonts w:ascii="Arial Narrow" w:hAnsi="Arial Narrow"/>
          <w:color w:val="000000" w:themeColor="text1"/>
          <w:sz w:val="20"/>
          <w:szCs w:val="20"/>
        </w:rPr>
      </w:pPr>
    </w:p>
    <w:p w:rsidR="00C21C00" w:rsidRDefault="00C21C00">
      <w:pPr>
        <w:rPr>
          <w:color w:val="000000" w:themeColor="text1"/>
        </w:rPr>
      </w:pPr>
    </w:p>
    <w:p w:rsidR="00613B91" w:rsidRPr="001341E8" w:rsidRDefault="00490259" w:rsidP="00613B91">
      <w:pPr>
        <w:shd w:val="clear" w:color="auto" w:fill="FFFFFF"/>
        <w:jc w:val="center"/>
        <w:rPr>
          <w:rFonts w:ascii="Arial Narrow" w:hAnsi="Arial Narrow"/>
          <w:b/>
          <w:color w:val="000000" w:themeColor="text1"/>
          <w:sz w:val="28"/>
          <w:szCs w:val="22"/>
        </w:rPr>
      </w:pPr>
      <w:hyperlink r:id="rId5" w:tgtFrame="_blank" w:tooltip="Chapter 397, Florida Statutes. Opens in a new window." w:history="1">
        <w:r w:rsidR="001B48E0" w:rsidRPr="001B48E0">
          <w:rPr>
            <w:rFonts w:ascii="Arial Narrow" w:hAnsi="Arial Narrow"/>
            <w:b/>
            <w:color w:val="000000" w:themeColor="text1"/>
            <w:sz w:val="28"/>
            <w:szCs w:val="20"/>
          </w:rPr>
          <w:t xml:space="preserve"> </w:t>
        </w:r>
        <w:r w:rsidR="001B48E0" w:rsidRPr="00FD1944">
          <w:rPr>
            <w:rFonts w:ascii="Arial Narrow" w:hAnsi="Arial Narrow"/>
            <w:b/>
            <w:color w:val="000000" w:themeColor="text1"/>
            <w:sz w:val="28"/>
            <w:szCs w:val="20"/>
          </w:rPr>
          <w:t>Florida Statute Chapter</w:t>
        </w:r>
        <w:r w:rsidR="00613B91" w:rsidRPr="001B48E0">
          <w:rPr>
            <w:rFonts w:ascii="Arial Narrow" w:hAnsi="Arial Narrow"/>
            <w:b/>
            <w:color w:val="000000" w:themeColor="text1"/>
            <w:sz w:val="28"/>
            <w:szCs w:val="22"/>
          </w:rPr>
          <w:t xml:space="preserve"> 397:</w:t>
        </w:r>
      </w:hyperlink>
      <w:r w:rsidR="00613B91" w:rsidRPr="001B48E0">
        <w:rPr>
          <w:rFonts w:ascii="Arial Narrow" w:hAnsi="Arial Narrow"/>
          <w:b/>
          <w:color w:val="000000" w:themeColor="text1"/>
          <w:sz w:val="28"/>
          <w:szCs w:val="22"/>
        </w:rPr>
        <w:t> Substance</w:t>
      </w:r>
      <w:r w:rsidR="00613B91" w:rsidRPr="001341E8">
        <w:rPr>
          <w:rFonts w:ascii="Arial Narrow" w:hAnsi="Arial Narrow"/>
          <w:b/>
          <w:color w:val="000000" w:themeColor="text1"/>
          <w:sz w:val="28"/>
          <w:szCs w:val="22"/>
        </w:rPr>
        <w:t xml:space="preserve"> Abuse Services </w:t>
      </w:r>
      <w:r w:rsidR="00613B91" w:rsidRPr="001341E8">
        <w:rPr>
          <w:rFonts w:ascii="Arial Narrow" w:hAnsi="Arial Narrow"/>
          <w:i/>
          <w:color w:val="000000" w:themeColor="text1"/>
          <w:sz w:val="28"/>
          <w:szCs w:val="22"/>
        </w:rPr>
        <w:t>(aka Marchman Act)</w:t>
      </w:r>
    </w:p>
    <w:p w:rsidR="00C21C00" w:rsidRDefault="00C21C00">
      <w:pPr>
        <w:rPr>
          <w:color w:val="000000" w:themeColor="text1"/>
        </w:rPr>
      </w:pPr>
    </w:p>
    <w:p w:rsidR="00C21C00" w:rsidRPr="00C80F28" w:rsidRDefault="00C21C00" w:rsidP="00C21C00">
      <w:pPr>
        <w:rPr>
          <w:rStyle w:val="catchlinetext"/>
          <w:rFonts w:ascii="Arial Narrow" w:hAnsi="Arial Narrow"/>
          <w:b/>
          <w:bCs/>
          <w:color w:val="000000" w:themeColor="text1"/>
          <w:sz w:val="20"/>
          <w:szCs w:val="20"/>
          <w:shd w:val="clear" w:color="auto" w:fill="FFFFFF"/>
        </w:rPr>
      </w:pPr>
      <w:r w:rsidRPr="00C80F28">
        <w:rPr>
          <w:rStyle w:val="sectionnumber"/>
          <w:rFonts w:ascii="Arial Narrow" w:hAnsi="Arial Narrow"/>
          <w:b/>
          <w:bCs/>
          <w:color w:val="000000" w:themeColor="text1"/>
          <w:sz w:val="20"/>
          <w:szCs w:val="20"/>
          <w:shd w:val="clear" w:color="auto" w:fill="FFFFFF"/>
        </w:rPr>
        <w:t>397.501</w:t>
      </w:r>
      <w:r w:rsidRPr="00C80F28">
        <w:rPr>
          <w:rStyle w:val="sectionnumber"/>
          <w:rFonts w:ascii="Arial Narrow" w:hAnsi="Arial Narrow"/>
          <w:b/>
          <w:bCs/>
          <w:color w:val="000000" w:themeColor="text1"/>
          <w:sz w:val="20"/>
          <w:szCs w:val="20"/>
          <w:shd w:val="clear" w:color="auto" w:fill="FFFFFF"/>
        </w:rPr>
        <w:t> </w:t>
      </w:r>
      <w:r w:rsidRPr="009B3A26">
        <w:rPr>
          <w:rStyle w:val="catchlinetext"/>
          <w:rFonts w:ascii="Arial Narrow" w:hAnsi="Arial Narrow"/>
          <w:b/>
          <w:bCs/>
          <w:color w:val="000000" w:themeColor="text1"/>
          <w:sz w:val="20"/>
          <w:szCs w:val="20"/>
          <w:highlight w:val="yellow"/>
          <w:shd w:val="clear" w:color="auto" w:fill="FFFFFF"/>
        </w:rPr>
        <w:t>Rights of individuals.</w:t>
      </w:r>
    </w:p>
    <w:p w:rsidR="00C21C00" w:rsidRPr="00C80F28" w:rsidRDefault="00C21C00" w:rsidP="00C21C00">
      <w:pPr>
        <w:rPr>
          <w:rFonts w:ascii="Arial Narrow" w:hAnsi="Arial Narrow"/>
          <w:color w:val="000000" w:themeColor="text1"/>
          <w:sz w:val="20"/>
        </w:rPr>
      </w:pPr>
      <w:r w:rsidRPr="00C80F28">
        <w:rPr>
          <w:rStyle w:val="number"/>
          <w:rFonts w:ascii="Arial Narrow" w:hAnsi="Arial Narrow"/>
          <w:color w:val="000000" w:themeColor="text1"/>
          <w:sz w:val="20"/>
          <w:szCs w:val="20"/>
          <w:shd w:val="clear" w:color="auto" w:fill="FFFFFF"/>
        </w:rPr>
        <w:t>(7)</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RIGHT TO CONFIDENTIALITY OF INDIVIDUAL RECORDS.</w:t>
      </w:r>
    </w:p>
    <w:p w:rsidR="00C21C00" w:rsidRPr="00C80F28" w:rsidRDefault="00C21C00" w:rsidP="00C21C00">
      <w:pPr>
        <w:rPr>
          <w:rFonts w:ascii="Arial Narrow" w:hAnsi="Arial Narrow"/>
          <w:color w:val="000000" w:themeColor="text1"/>
          <w:sz w:val="20"/>
        </w:rPr>
      </w:pPr>
      <w:r w:rsidRPr="00C80F28">
        <w:rPr>
          <w:rStyle w:val="number"/>
          <w:rFonts w:ascii="Arial Narrow" w:hAnsi="Arial Narrow"/>
          <w:color w:val="000000" w:themeColor="text1"/>
          <w:sz w:val="20"/>
          <w:szCs w:val="20"/>
          <w:shd w:val="clear" w:color="auto" w:fill="FFFFFF"/>
        </w:rPr>
        <w:t>(e)1.</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 xml:space="preserve">Since a minor acting alone has the legal capacity to voluntarily apply for and obtain substance abuse treatment, </w:t>
      </w:r>
      <w:r w:rsidRPr="00E3009D">
        <w:rPr>
          <w:rStyle w:val="text"/>
          <w:rFonts w:ascii="Arial Narrow" w:hAnsi="Arial Narrow"/>
          <w:color w:val="000000" w:themeColor="text1"/>
          <w:sz w:val="20"/>
          <w:szCs w:val="20"/>
          <w:shd w:val="clear" w:color="auto" w:fill="FFF2CC" w:themeFill="accent4" w:themeFillTint="33"/>
        </w:rPr>
        <w:t>any written consent for disclosure may be given only by the minor.</w:t>
      </w:r>
      <w:r w:rsidRPr="00C80F28">
        <w:rPr>
          <w:rStyle w:val="text"/>
          <w:rFonts w:ascii="Arial Narrow" w:hAnsi="Arial Narrow"/>
          <w:color w:val="000000" w:themeColor="text1"/>
          <w:sz w:val="20"/>
          <w:szCs w:val="20"/>
          <w:shd w:val="clear" w:color="auto" w:fill="FFFFFF"/>
        </w:rPr>
        <w:t xml:space="preserve"> This restriction includes, but is not limited to, any disclosure of identifying information to the parent, legal guardian, or custodian of a minor for the purpose of obtaining financial reimbursement.</w:t>
      </w:r>
    </w:p>
    <w:p w:rsidR="00C21C00" w:rsidRDefault="00C21C00" w:rsidP="00C21C00">
      <w:pPr>
        <w:rPr>
          <w:rStyle w:val="text"/>
          <w:rFonts w:ascii="Arial Narrow" w:hAnsi="Arial Narrow"/>
          <w:color w:val="000000" w:themeColor="text1"/>
          <w:sz w:val="20"/>
          <w:szCs w:val="20"/>
          <w:shd w:val="clear" w:color="auto" w:fill="FFFFFF"/>
        </w:rPr>
      </w:pPr>
      <w:r w:rsidRPr="00C80F28">
        <w:rPr>
          <w:rStyle w:val="number"/>
          <w:rFonts w:ascii="Arial Narrow" w:hAnsi="Arial Narrow"/>
          <w:color w:val="000000" w:themeColor="text1"/>
          <w:sz w:val="20"/>
          <w:szCs w:val="20"/>
          <w:shd w:val="clear" w:color="auto" w:fill="FFFFFF"/>
        </w:rPr>
        <w:t>2.</w:t>
      </w:r>
      <w:r w:rsidRPr="00C80F28">
        <w:rPr>
          <w:rStyle w:val="number"/>
          <w:rFonts w:ascii="Arial Narrow" w:hAnsi="Arial Narrow"/>
          <w:color w:val="000000" w:themeColor="text1"/>
          <w:sz w:val="20"/>
          <w:szCs w:val="20"/>
          <w:shd w:val="clear" w:color="auto" w:fill="FFFFFF"/>
        </w:rPr>
        <w:t> </w:t>
      </w:r>
      <w:r w:rsidRPr="00C80F28">
        <w:rPr>
          <w:rStyle w:val="text"/>
          <w:rFonts w:ascii="Arial Narrow" w:hAnsi="Arial Narrow"/>
          <w:color w:val="000000" w:themeColor="text1"/>
          <w:sz w:val="20"/>
          <w:szCs w:val="20"/>
          <w:shd w:val="clear" w:color="auto" w:fill="FFFFFF"/>
        </w:rPr>
        <w:t>When the consent of a parent, legal guardian, or custodian is required under this chapter in order for a minor to obtain substance abuse treatment, any written consent for disclosure must be given by both the minor and the parent, legal guardian, or custodian.</w:t>
      </w:r>
    </w:p>
    <w:p w:rsidR="001B48E0" w:rsidRPr="00C80F28" w:rsidRDefault="001B48E0" w:rsidP="00C21C00">
      <w:pPr>
        <w:rPr>
          <w:rFonts w:ascii="Arial Narrow" w:hAnsi="Arial Narrow"/>
          <w:color w:val="000000" w:themeColor="text1"/>
          <w:sz w:val="20"/>
        </w:rPr>
      </w:pPr>
    </w:p>
    <w:p w:rsidR="00C21C00" w:rsidRDefault="00C21C00">
      <w:pPr>
        <w:rPr>
          <w:color w:val="000000" w:themeColor="text1"/>
        </w:rPr>
      </w:pPr>
    </w:p>
    <w:p w:rsidR="001B48E0" w:rsidRPr="001B48E0" w:rsidRDefault="001B48E0" w:rsidP="001B48E0">
      <w:pPr>
        <w:jc w:val="center"/>
        <w:rPr>
          <w:i/>
          <w:color w:val="000000" w:themeColor="text1"/>
        </w:rPr>
      </w:pPr>
      <w:r w:rsidRPr="00FD1944">
        <w:rPr>
          <w:rFonts w:ascii="Arial Narrow" w:hAnsi="Arial Narrow"/>
          <w:b/>
          <w:color w:val="000000" w:themeColor="text1"/>
          <w:sz w:val="28"/>
          <w:szCs w:val="20"/>
        </w:rPr>
        <w:t>Florida Statute Chapter</w:t>
      </w:r>
      <w:r>
        <w:rPr>
          <w:rFonts w:ascii="Arial Narrow" w:hAnsi="Arial Narrow"/>
          <w:b/>
          <w:color w:val="000000" w:themeColor="text1"/>
          <w:sz w:val="28"/>
          <w:szCs w:val="20"/>
        </w:rPr>
        <w:t xml:space="preserve"> 768: Negligence </w:t>
      </w:r>
      <w:r w:rsidRPr="001B48E0">
        <w:rPr>
          <w:rFonts w:ascii="Arial Narrow" w:hAnsi="Arial Narrow"/>
          <w:i/>
          <w:color w:val="000000" w:themeColor="text1"/>
          <w:sz w:val="28"/>
          <w:szCs w:val="20"/>
        </w:rPr>
        <w:t>(aka</w:t>
      </w:r>
      <w:r>
        <w:rPr>
          <w:rFonts w:ascii="Arial Narrow" w:hAnsi="Arial Narrow"/>
          <w:i/>
          <w:color w:val="000000" w:themeColor="text1"/>
          <w:sz w:val="28"/>
          <w:szCs w:val="20"/>
        </w:rPr>
        <w:t xml:space="preserve"> as containing the</w:t>
      </w:r>
      <w:r w:rsidRPr="001B48E0">
        <w:rPr>
          <w:rFonts w:ascii="Arial Narrow" w:hAnsi="Arial Narrow"/>
          <w:i/>
          <w:color w:val="000000" w:themeColor="text1"/>
          <w:sz w:val="28"/>
          <w:szCs w:val="20"/>
        </w:rPr>
        <w:t xml:space="preserve"> Good Samaritan Act)</w:t>
      </w:r>
    </w:p>
    <w:p w:rsidR="001B48E0" w:rsidRDefault="001B48E0">
      <w:pPr>
        <w:rPr>
          <w:color w:val="000000" w:themeColor="text1"/>
        </w:rPr>
      </w:pPr>
    </w:p>
    <w:p w:rsidR="001B48E0" w:rsidRPr="001B48E0" w:rsidRDefault="001B48E0" w:rsidP="001B48E0">
      <w:pPr>
        <w:ind w:firstLine="200"/>
        <w:rPr>
          <w:rFonts w:ascii="Arial Narrow" w:hAnsi="Arial Narrow"/>
          <w:b/>
          <w:color w:val="000000" w:themeColor="text1"/>
          <w:sz w:val="20"/>
          <w:szCs w:val="20"/>
          <w:shd w:val="clear" w:color="auto" w:fill="FFFFFF"/>
        </w:rPr>
      </w:pPr>
      <w:r w:rsidRPr="001B48E0">
        <w:rPr>
          <w:rFonts w:ascii="Arial Narrow" w:hAnsi="Arial Narrow"/>
          <w:b/>
          <w:bCs/>
          <w:color w:val="000000" w:themeColor="text1"/>
          <w:sz w:val="20"/>
          <w:szCs w:val="20"/>
          <w:shd w:val="clear" w:color="auto" w:fill="FFFFFF"/>
        </w:rPr>
        <w:t>768.13</w:t>
      </w:r>
      <w:r w:rsidRPr="001B48E0">
        <w:rPr>
          <w:rFonts w:ascii="Arial Narrow" w:hAnsi="Arial Narrow"/>
          <w:b/>
          <w:bCs/>
          <w:color w:val="000000" w:themeColor="text1"/>
          <w:sz w:val="20"/>
          <w:szCs w:val="20"/>
          <w:shd w:val="clear" w:color="auto" w:fill="FFFFFF"/>
        </w:rPr>
        <w:t> </w:t>
      </w:r>
      <w:r w:rsidRPr="001B48E0">
        <w:rPr>
          <w:rFonts w:ascii="Arial Narrow" w:hAnsi="Arial Narrow"/>
          <w:b/>
          <w:bCs/>
          <w:color w:val="000000" w:themeColor="text1"/>
          <w:sz w:val="20"/>
          <w:szCs w:val="20"/>
          <w:highlight w:val="yellow"/>
          <w:shd w:val="clear" w:color="auto" w:fill="FFFFFF"/>
        </w:rPr>
        <w:t>Good Samaritan Act; immunity from civil liability</w:t>
      </w:r>
      <w:r w:rsidRPr="001B48E0">
        <w:rPr>
          <w:rFonts w:ascii="Arial Narrow" w:hAnsi="Arial Narrow"/>
          <w:b/>
          <w:bCs/>
          <w:color w:val="000000" w:themeColor="text1"/>
          <w:sz w:val="20"/>
          <w:szCs w:val="20"/>
          <w:shd w:val="clear" w:color="auto" w:fill="FFFFFF"/>
        </w:rPr>
        <w:t>.</w:t>
      </w:r>
    </w:p>
    <w:p w:rsidR="001B48E0" w:rsidRPr="001B48E0" w:rsidRDefault="001B48E0" w:rsidP="001B48E0">
      <w:pPr>
        <w:ind w:firstLine="240"/>
        <w:rPr>
          <w:rFonts w:ascii="Arial Narrow" w:hAnsi="Arial Narrow"/>
          <w:color w:val="000000" w:themeColor="text1"/>
          <w:sz w:val="20"/>
          <w:szCs w:val="20"/>
        </w:rPr>
      </w:pPr>
      <w:r w:rsidRPr="001B48E0">
        <w:rPr>
          <w:rFonts w:ascii="Arial Narrow" w:hAnsi="Arial Narrow"/>
          <w:color w:val="000000" w:themeColor="text1"/>
          <w:sz w:val="20"/>
          <w:szCs w:val="20"/>
          <w:shd w:val="clear" w:color="auto" w:fill="FFFFFF"/>
        </w:rPr>
        <w:t>(1)</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This act shall be known and cited as the “Good Samaritan Act.”</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(2)(a)</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Any person, including those licensed to practice medicine, who gratuitously and in good faith renders emergency care or treatment either in direct response to emergency situations related to and arising out of a public health emergency declared pursuant to s. </w:t>
      </w:r>
      <w:hyperlink r:id="rId6" w:history="1">
        <w:r w:rsidRPr="001B48E0">
          <w:rPr>
            <w:rFonts w:ascii="Arial Narrow" w:hAnsi="Arial Narrow"/>
            <w:color w:val="000000" w:themeColor="text1"/>
            <w:sz w:val="20"/>
            <w:szCs w:val="20"/>
            <w:u w:val="single"/>
            <w:shd w:val="clear" w:color="auto" w:fill="FFFFFF"/>
          </w:rPr>
          <w:t>381.00315</w:t>
        </w:r>
      </w:hyperlink>
      <w:r w:rsidRPr="001B48E0">
        <w:rPr>
          <w:rFonts w:ascii="Arial Narrow" w:hAnsi="Arial Narrow"/>
          <w:color w:val="000000" w:themeColor="text1"/>
          <w:sz w:val="20"/>
          <w:szCs w:val="20"/>
          <w:shd w:val="clear" w:color="auto" w:fill="FFFFFF"/>
        </w:rPr>
        <w:t>, a state of emergency which has been declared pursuant to s. </w:t>
      </w:r>
      <w:hyperlink r:id="rId7" w:history="1">
        <w:r w:rsidRPr="001B48E0">
          <w:rPr>
            <w:rFonts w:ascii="Arial Narrow" w:hAnsi="Arial Narrow"/>
            <w:color w:val="000000" w:themeColor="text1"/>
            <w:sz w:val="20"/>
            <w:szCs w:val="20"/>
            <w:u w:val="single"/>
            <w:shd w:val="clear" w:color="auto" w:fill="FFFFFF"/>
          </w:rPr>
          <w:t>252.36</w:t>
        </w:r>
      </w:hyperlink>
      <w:r w:rsidRPr="001B48E0">
        <w:rPr>
          <w:rFonts w:ascii="Arial Narrow" w:hAnsi="Arial Narrow"/>
          <w:color w:val="000000" w:themeColor="text1"/>
          <w:sz w:val="20"/>
          <w:szCs w:val="20"/>
          <w:shd w:val="clear" w:color="auto" w:fill="FFFFFF"/>
        </w:rPr>
        <w:t xml:space="preserve"> or at the scene of an emergency outside of a hospital, doctor’s office, or other place having proper medical equipment, without objection of the injured victim or victims thereof, </w:t>
      </w:r>
      <w:r w:rsidRPr="001B48E0">
        <w:rPr>
          <w:rFonts w:ascii="Arial Narrow" w:hAnsi="Arial Narrow"/>
          <w:color w:val="000000" w:themeColor="text1"/>
          <w:sz w:val="20"/>
          <w:szCs w:val="20"/>
          <w:shd w:val="clear" w:color="auto" w:fill="FFF2CC" w:themeFill="accent4" w:themeFillTint="33"/>
        </w:rPr>
        <w:t>shall not be held liable for any civil damages</w:t>
      </w:r>
      <w:r w:rsidRPr="001B48E0">
        <w:rPr>
          <w:rFonts w:ascii="Arial Narrow" w:hAnsi="Arial Narrow"/>
          <w:color w:val="000000" w:themeColor="text1"/>
          <w:sz w:val="20"/>
          <w:szCs w:val="20"/>
          <w:shd w:val="clear" w:color="auto" w:fill="FFFFFF"/>
        </w:rPr>
        <w:t xml:space="preserve"> as a result of such care or treatment or as a result of any act or failure to act in providing or arranging further medical treatment where the person acts as an ordinary reasonably prudent person would have acted under the same or similar circumstances.</w:t>
      </w:r>
    </w:p>
    <w:p w:rsidR="001B48E0" w:rsidRPr="001B48E0" w:rsidRDefault="001B48E0" w:rsidP="002131B9">
      <w:pPr>
        <w:shd w:val="clear" w:color="auto" w:fill="FFF2CC" w:themeFill="accent4" w:themeFillTint="33"/>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(b)1.</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Any health care provider, including a hospital licensed under chapter 395, providing emergency services pursuant to obligations imposed by 42 U.S.C. s. 1395dd, s. </w:t>
      </w:r>
      <w:hyperlink r:id="rId8" w:history="1">
        <w:r w:rsidRPr="001B48E0">
          <w:rPr>
            <w:rFonts w:ascii="Arial Narrow" w:hAnsi="Arial Narrow"/>
            <w:color w:val="000000" w:themeColor="text1"/>
            <w:sz w:val="20"/>
            <w:szCs w:val="20"/>
            <w:u w:val="single"/>
            <w:shd w:val="clear" w:color="auto" w:fill="FFFFFF"/>
          </w:rPr>
          <w:t>395.1041</w:t>
        </w:r>
      </w:hyperlink>
      <w:r w:rsidRPr="001B48E0">
        <w:rPr>
          <w:rFonts w:ascii="Arial Narrow" w:hAnsi="Arial Narrow"/>
          <w:color w:val="000000" w:themeColor="text1"/>
          <w:sz w:val="20"/>
          <w:szCs w:val="20"/>
          <w:shd w:val="clear" w:color="auto" w:fill="FFFFFF"/>
        </w:rPr>
        <w:t>, s.</w:t>
      </w:r>
      <w:hyperlink r:id="rId9" w:history="1">
        <w:r w:rsidRPr="001B48E0">
          <w:rPr>
            <w:rFonts w:ascii="Arial Narrow" w:hAnsi="Arial Narrow"/>
            <w:color w:val="000000" w:themeColor="text1"/>
            <w:sz w:val="20"/>
            <w:szCs w:val="20"/>
            <w:u w:val="single"/>
            <w:shd w:val="clear" w:color="auto" w:fill="FFFFFF"/>
          </w:rPr>
          <w:t>395.401</w:t>
        </w:r>
      </w:hyperlink>
      <w:r w:rsidRPr="001B48E0">
        <w:rPr>
          <w:rFonts w:ascii="Arial Narrow" w:hAnsi="Arial Narrow"/>
          <w:color w:val="000000" w:themeColor="text1"/>
          <w:sz w:val="20"/>
          <w:szCs w:val="20"/>
          <w:shd w:val="clear" w:color="auto" w:fill="FFFFFF"/>
        </w:rPr>
        <w:t>, or s. </w:t>
      </w:r>
      <w:hyperlink r:id="rId10" w:history="1">
        <w:r w:rsidRPr="001B48E0">
          <w:rPr>
            <w:rFonts w:ascii="Arial Narrow" w:hAnsi="Arial Narrow"/>
            <w:color w:val="000000" w:themeColor="text1"/>
            <w:sz w:val="20"/>
            <w:szCs w:val="20"/>
            <w:u w:val="single"/>
            <w:shd w:val="clear" w:color="auto" w:fill="FFFFFF"/>
          </w:rPr>
          <w:t>401.45</w:t>
        </w:r>
      </w:hyperlink>
      <w:r w:rsidRPr="001B48E0">
        <w:rPr>
          <w:rFonts w:ascii="Arial Narrow" w:hAnsi="Arial Narrow"/>
          <w:color w:val="000000" w:themeColor="text1"/>
          <w:sz w:val="20"/>
          <w:szCs w:val="20"/>
          <w:shd w:val="clear" w:color="auto" w:fill="FFFFFF"/>
        </w:rPr>
        <w:t xml:space="preserve"> shall not be held liable for any civil damages as a result of such medical care or treatment </w:t>
      </w:r>
      <w:r w:rsidRPr="001B48E0">
        <w:rPr>
          <w:rFonts w:ascii="Arial Narrow" w:hAnsi="Arial Narrow"/>
          <w:color w:val="000000" w:themeColor="text1"/>
          <w:sz w:val="20"/>
          <w:szCs w:val="20"/>
          <w:shd w:val="clear" w:color="auto" w:fill="FFF2CC" w:themeFill="accent4" w:themeFillTint="33"/>
        </w:rPr>
        <w:t>unless such damages result from providing, or failing to provide, medical care or</w:t>
      </w:r>
      <w:r w:rsidRPr="001B48E0">
        <w:rPr>
          <w:rFonts w:ascii="Arial Narrow" w:hAnsi="Arial Narrow"/>
          <w:color w:val="000000" w:themeColor="text1"/>
          <w:sz w:val="20"/>
          <w:szCs w:val="20"/>
          <w:shd w:val="clear" w:color="auto" w:fill="FFFFFF"/>
        </w:rPr>
        <w:t xml:space="preserve"> </w:t>
      </w:r>
      <w:r w:rsidRPr="001B48E0">
        <w:rPr>
          <w:rFonts w:ascii="Arial Narrow" w:hAnsi="Arial Narrow"/>
          <w:color w:val="000000" w:themeColor="text1"/>
          <w:sz w:val="20"/>
          <w:szCs w:val="20"/>
          <w:shd w:val="clear" w:color="auto" w:fill="FFF2CC" w:themeFill="accent4" w:themeFillTint="33"/>
        </w:rPr>
        <w:t>treatment under circumstances demonstrating a reckless disregard for the consequences so as to affect the life or health of</w:t>
      </w:r>
      <w:r w:rsidRPr="001B48E0">
        <w:rPr>
          <w:rFonts w:ascii="Arial Narrow" w:hAnsi="Arial Narrow"/>
          <w:color w:val="000000" w:themeColor="text1"/>
          <w:sz w:val="20"/>
          <w:szCs w:val="20"/>
          <w:shd w:val="clear" w:color="auto" w:fill="FFFFFF"/>
        </w:rPr>
        <w:t xml:space="preserve"> another.</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2.</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The immunity provided by this paragraph applies to damages as a result of any act or omission of providing medical care or treatment, including diagnosis:</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a.</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Which occurs prior to the time the patient is stabilized and is capable of receiving medical treatment as a nonemergency patient, unless surgery is required as a result of the emergency within a reasonable time after the patient is stabilized, in which case the immunity provided by this paragraph applies to any act or omission of providing medical care or treatment which occurs prior to the stabilization of the patient following the surgery.</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b.</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Which is related to the original medical emergency.</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3.</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For purposes of this paragraph, “</w:t>
      </w:r>
      <w:r w:rsidRPr="001B48E0">
        <w:rPr>
          <w:rFonts w:ascii="Arial Narrow" w:hAnsi="Arial Narrow"/>
          <w:color w:val="000000" w:themeColor="text1"/>
          <w:sz w:val="20"/>
          <w:szCs w:val="20"/>
          <w:shd w:val="clear" w:color="auto" w:fill="FFF2CC" w:themeFill="accent4" w:themeFillTint="33"/>
        </w:rPr>
        <w:t>reckless disregard” as it applies to a given health care provider rendering emergency medical services shall be such conduct that a health care provider knew or should have known, at the time such services were rendered, created an unreasonable risk of injury so as to affect the life or health of another, and such risk was substantially greater than that which is necessary to make the conduct negligent.</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4.</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Every emergency care facility granted immunity under this paragraph shall accept and treat all emergency care patients within the operational capacity of such facility without regard to ability to pay, including patients transferred from another emergency care facility or other health care provider pursuant to Pub. L. No. 99-272, s. 9121. The failure of an emergency care facility to comply with this subparagraph constitutes grounds for the department to initiate disciplinary action against the facility pursuant to chapter 395.</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(c)1.</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Any health care practitioner as defined in s. </w:t>
      </w:r>
      <w:hyperlink r:id="rId11" w:history="1">
        <w:r w:rsidRPr="001B48E0">
          <w:rPr>
            <w:rFonts w:ascii="Arial Narrow" w:hAnsi="Arial Narrow"/>
            <w:color w:val="000000" w:themeColor="text1"/>
            <w:sz w:val="20"/>
            <w:szCs w:val="20"/>
            <w:u w:val="single"/>
            <w:shd w:val="clear" w:color="auto" w:fill="FFFFFF"/>
          </w:rPr>
          <w:t>456.001</w:t>
        </w:r>
      </w:hyperlink>
      <w:r w:rsidRPr="001B48E0">
        <w:rPr>
          <w:rFonts w:ascii="Arial Narrow" w:hAnsi="Arial Narrow"/>
          <w:color w:val="000000" w:themeColor="text1"/>
          <w:sz w:val="20"/>
          <w:szCs w:val="20"/>
          <w:shd w:val="clear" w:color="auto" w:fill="FFFFFF"/>
        </w:rPr>
        <w:t>(4) who is in a hospital attending to a patient of his or her practice or for business or personal reasons unrelated to direct patient care, and who voluntarily responds to provide care or treatment to a patient with whom at that time the practitioner does not have a then-existing health care patient-practitioner relationship, and when such care or treatment is necessitated by a sudden or unexpected situation or by an occurrence that demands immediate medical attention, shall not be held liable for any civil damages as a result of any act or omission relative to that care or treatment, unless that care or treatment is proven to amount to conduct that is willful and wanton and would likely result in injury so as to affect the life or health of another.</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2.</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The immunity provided by this paragraph does not apply to damages as a result of any act or omission of providing medical care or treatment unrelated to the original situation that demanded immediate medical attention.</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3.</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2CC" w:themeFill="accent4" w:themeFillTint="33"/>
        </w:rPr>
        <w:t>For purposes of this paragraph, the Legislature’s intent is to encourage health care practitioners to provide necessary emergency care to all persons without fear of litigation as described in this paragraph.</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(d)</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Any person whose acts or omissions are not otherwise covered by this section and who participates in emergency response activities under the direction of or in connection with a community emergency response team, local emergency management agencies, the Division of Emergency Management, or the Federal Emergency Management Agency is not liable for any civil damages as a result of care, treatment, or services provided gratuitously in such capacity and resulting from any act or failure to act in such capacity in providing or arranging further care, treatment, or services, if such person acts as a reasonably prudent person would have acted under the same or similar circumstances.</w:t>
      </w:r>
    </w:p>
    <w:p w:rsidR="001B48E0" w:rsidRPr="001B48E0" w:rsidRDefault="001B48E0" w:rsidP="001B48E0">
      <w:pPr>
        <w:ind w:firstLine="240"/>
        <w:rPr>
          <w:rFonts w:ascii="Arial Narrow" w:hAnsi="Arial Narrow"/>
          <w:color w:val="000000" w:themeColor="text1"/>
          <w:sz w:val="20"/>
          <w:szCs w:val="20"/>
          <w:shd w:val="clear" w:color="auto" w:fill="FFFFFF"/>
        </w:rPr>
      </w:pPr>
      <w:r w:rsidRPr="001B48E0">
        <w:rPr>
          <w:rFonts w:ascii="Arial Narrow" w:hAnsi="Arial Narrow"/>
          <w:color w:val="000000" w:themeColor="text1"/>
          <w:sz w:val="20"/>
          <w:szCs w:val="20"/>
          <w:shd w:val="clear" w:color="auto" w:fill="FFFFFF"/>
        </w:rPr>
        <w:t>(3)</w:t>
      </w:r>
      <w:r w:rsidRPr="001B48E0">
        <w:rPr>
          <w:rFonts w:ascii="Arial Narrow" w:hAnsi="Arial Narrow"/>
          <w:color w:val="000000" w:themeColor="text1"/>
          <w:sz w:val="20"/>
          <w:szCs w:val="20"/>
          <w:shd w:val="clear" w:color="auto" w:fill="FFFFFF"/>
        </w:rPr>
        <w:t> </w:t>
      </w:r>
      <w:r w:rsidRPr="001B48E0">
        <w:rPr>
          <w:rFonts w:ascii="Arial Narrow" w:hAnsi="Arial Narrow"/>
          <w:color w:val="000000" w:themeColor="text1"/>
          <w:sz w:val="20"/>
          <w:szCs w:val="20"/>
          <w:shd w:val="clear" w:color="auto" w:fill="FFFFFF"/>
        </w:rPr>
        <w:t>Any person, including those licensed to practice veterinary medicine, who gratuitously and in good faith renders emergency care or treatment to an injured animal at the scene of an emergency on or adjacent to a roadway shall not be held liable for any civil damages as a result of such care or treatment or as a result of any act or failure to act in providing or arranging further medical treatment where the person acts as an ordinary reasonably prudent person would have acted under the same or similar circumstances.</w:t>
      </w:r>
    </w:p>
    <w:p w:rsidR="001B48E0" w:rsidRPr="001B48E0" w:rsidRDefault="001B48E0" w:rsidP="001B48E0">
      <w:pPr>
        <w:shd w:val="clear" w:color="auto" w:fill="FFFFFF"/>
        <w:ind w:firstLine="200"/>
        <w:rPr>
          <w:rFonts w:ascii="Arial Narrow" w:hAnsi="Arial Narrow"/>
          <w:color w:val="000000" w:themeColor="text1"/>
          <w:sz w:val="20"/>
          <w:szCs w:val="20"/>
        </w:rPr>
      </w:pPr>
      <w:r w:rsidRPr="001B48E0">
        <w:rPr>
          <w:rFonts w:ascii="Arial Narrow" w:hAnsi="Arial Narrow"/>
          <w:bCs/>
          <w:color w:val="000000" w:themeColor="text1"/>
          <w:sz w:val="20"/>
          <w:szCs w:val="20"/>
        </w:rPr>
        <w:t>History.</w:t>
      </w:r>
      <w:r w:rsidRPr="001B48E0">
        <w:rPr>
          <w:rFonts w:ascii="Arial Narrow" w:hAnsi="Arial Narrow"/>
          <w:color w:val="000000" w:themeColor="text1"/>
          <w:sz w:val="20"/>
          <w:szCs w:val="20"/>
        </w:rPr>
        <w:t>—ss. 1, 2, ch. 65-313; s. 1, ch. 78-334; s. 62, ch. 86-160; s. 46, ch. 88-1; s. 4, ch. 88-173; s. 42, ch. 88-277; s. 1, ch. 89-71; s. 37, ch. 91-110; s. 33, ch. 93-211; s. 3, ch. 97-34; s. 1164, ch. 97-102; s. 2, ch. 2001-76; s. 3, ch. 2002-269; s. 65, ch. 2003-416; s. 1, ch. 2004-45; s. 441, ch. 2011-142.</w:t>
      </w:r>
    </w:p>
    <w:p w:rsidR="001B48E0" w:rsidRPr="00C21C00" w:rsidRDefault="001B48E0">
      <w:pPr>
        <w:rPr>
          <w:color w:val="000000" w:themeColor="text1"/>
        </w:rPr>
      </w:pPr>
    </w:p>
    <w:sectPr w:rsidR="001B48E0" w:rsidRPr="00C21C00" w:rsidSect="0090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00"/>
    <w:rsid w:val="000B5208"/>
    <w:rsid w:val="001B48E0"/>
    <w:rsid w:val="002131B9"/>
    <w:rsid w:val="002170A7"/>
    <w:rsid w:val="003D58E3"/>
    <w:rsid w:val="004046DA"/>
    <w:rsid w:val="00433A89"/>
    <w:rsid w:val="00490259"/>
    <w:rsid w:val="004A67EF"/>
    <w:rsid w:val="00500D4E"/>
    <w:rsid w:val="00613B91"/>
    <w:rsid w:val="007E6508"/>
    <w:rsid w:val="00825DB7"/>
    <w:rsid w:val="00854EF3"/>
    <w:rsid w:val="00907D93"/>
    <w:rsid w:val="009B3A26"/>
    <w:rsid w:val="00B80AE6"/>
    <w:rsid w:val="00B863E4"/>
    <w:rsid w:val="00C161AB"/>
    <w:rsid w:val="00C21C00"/>
    <w:rsid w:val="00C61F11"/>
    <w:rsid w:val="00D404E9"/>
    <w:rsid w:val="00E152D0"/>
    <w:rsid w:val="00E3009D"/>
    <w:rsid w:val="00F37E0E"/>
    <w:rsid w:val="00F47BB9"/>
    <w:rsid w:val="00F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4AA1C-7B80-254D-939A-4CA2BC66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8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C21C00"/>
  </w:style>
  <w:style w:type="character" w:customStyle="1" w:styleId="catchlinetext">
    <w:name w:val="catchlinetext"/>
    <w:basedOn w:val="DefaultParagraphFont"/>
    <w:rsid w:val="00C21C00"/>
  </w:style>
  <w:style w:type="character" w:customStyle="1" w:styleId="emdash">
    <w:name w:val="emdash"/>
    <w:basedOn w:val="DefaultParagraphFont"/>
    <w:rsid w:val="00C21C00"/>
  </w:style>
  <w:style w:type="character" w:customStyle="1" w:styleId="text">
    <w:name w:val="text"/>
    <w:basedOn w:val="DefaultParagraphFont"/>
    <w:rsid w:val="00C21C00"/>
  </w:style>
  <w:style w:type="character" w:customStyle="1" w:styleId="number">
    <w:name w:val="number"/>
    <w:basedOn w:val="DefaultParagraphFont"/>
    <w:rsid w:val="00C21C00"/>
  </w:style>
  <w:style w:type="character" w:customStyle="1" w:styleId="sectionbody">
    <w:name w:val="sectionbody"/>
    <w:basedOn w:val="DefaultParagraphFont"/>
    <w:rsid w:val="00C21C00"/>
  </w:style>
  <w:style w:type="character" w:customStyle="1" w:styleId="historytitle">
    <w:name w:val="historytitle"/>
    <w:basedOn w:val="DefaultParagraphFont"/>
    <w:rsid w:val="00C21C00"/>
  </w:style>
  <w:style w:type="character" w:customStyle="1" w:styleId="historytext">
    <w:name w:val="historytext"/>
    <w:basedOn w:val="DefaultParagraphFont"/>
    <w:rsid w:val="00C21C00"/>
  </w:style>
  <w:style w:type="character" w:styleId="Hyperlink">
    <w:name w:val="Hyperlink"/>
    <w:basedOn w:val="DefaultParagraphFont"/>
    <w:uiPriority w:val="99"/>
    <w:semiHidden/>
    <w:unhideWhenUsed/>
    <w:rsid w:val="00C21C00"/>
    <w:rPr>
      <w:color w:val="0000FF"/>
      <w:u w:val="single"/>
    </w:rPr>
  </w:style>
  <w:style w:type="character" w:customStyle="1" w:styleId="notetitle">
    <w:name w:val="notetitle"/>
    <w:basedOn w:val="DefaultParagraphFont"/>
    <w:rsid w:val="009B3A26"/>
  </w:style>
  <w:style w:type="paragraph" w:styleId="NormalWeb">
    <w:name w:val="Normal (Web)"/>
    <w:basedOn w:val="Normal"/>
    <w:uiPriority w:val="99"/>
    <w:semiHidden/>
    <w:unhideWhenUsed/>
    <w:rsid w:val="001B48E0"/>
    <w:pPr>
      <w:spacing w:before="100" w:beforeAutospacing="1" w:after="100" w:afterAutospacing="1"/>
    </w:pPr>
  </w:style>
  <w:style w:type="character" w:styleId="FollowedHyperlink">
    <w:name w:val="FollowedHyperlink"/>
    <w:basedOn w:val="DefaultParagraphFont"/>
    <w:uiPriority w:val="99"/>
    <w:semiHidden/>
    <w:unhideWhenUsed/>
    <w:rsid w:val="001B4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8083">
      <w:bodyDiv w:val="1"/>
      <w:marLeft w:val="0"/>
      <w:marRight w:val="0"/>
      <w:marTop w:val="0"/>
      <w:marBottom w:val="0"/>
      <w:divBdr>
        <w:top w:val="none" w:sz="0" w:space="0" w:color="auto"/>
        <w:left w:val="none" w:sz="0" w:space="0" w:color="auto"/>
        <w:bottom w:val="none" w:sz="0" w:space="0" w:color="auto"/>
        <w:right w:val="none" w:sz="0" w:space="0" w:color="auto"/>
      </w:divBdr>
    </w:div>
    <w:div w:id="532763986">
      <w:bodyDiv w:val="1"/>
      <w:marLeft w:val="0"/>
      <w:marRight w:val="0"/>
      <w:marTop w:val="0"/>
      <w:marBottom w:val="0"/>
      <w:divBdr>
        <w:top w:val="none" w:sz="0" w:space="0" w:color="auto"/>
        <w:left w:val="none" w:sz="0" w:space="0" w:color="auto"/>
        <w:bottom w:val="none" w:sz="0" w:space="0" w:color="auto"/>
        <w:right w:val="none" w:sz="0" w:space="0" w:color="auto"/>
      </w:divBdr>
      <w:divsChild>
        <w:div w:id="773941689">
          <w:marLeft w:val="0"/>
          <w:marRight w:val="0"/>
          <w:marTop w:val="0"/>
          <w:marBottom w:val="0"/>
          <w:divBdr>
            <w:top w:val="none" w:sz="0" w:space="0" w:color="auto"/>
            <w:left w:val="none" w:sz="0" w:space="0" w:color="auto"/>
            <w:bottom w:val="none" w:sz="0" w:space="0" w:color="auto"/>
            <w:right w:val="none" w:sz="0" w:space="0" w:color="auto"/>
          </w:divBdr>
        </w:div>
        <w:div w:id="1795443602">
          <w:marLeft w:val="0"/>
          <w:marRight w:val="0"/>
          <w:marTop w:val="0"/>
          <w:marBottom w:val="0"/>
          <w:divBdr>
            <w:top w:val="none" w:sz="0" w:space="0" w:color="auto"/>
            <w:left w:val="none" w:sz="0" w:space="0" w:color="auto"/>
            <w:bottom w:val="none" w:sz="0" w:space="0" w:color="auto"/>
            <w:right w:val="none" w:sz="0" w:space="0" w:color="auto"/>
          </w:divBdr>
          <w:divsChild>
            <w:div w:id="2136288538">
              <w:marLeft w:val="0"/>
              <w:marRight w:val="0"/>
              <w:marTop w:val="0"/>
              <w:marBottom w:val="0"/>
              <w:divBdr>
                <w:top w:val="none" w:sz="0" w:space="0" w:color="auto"/>
                <w:left w:val="none" w:sz="0" w:space="0" w:color="auto"/>
                <w:bottom w:val="none" w:sz="0" w:space="0" w:color="auto"/>
                <w:right w:val="none" w:sz="0" w:space="0" w:color="auto"/>
              </w:divBdr>
            </w:div>
            <w:div w:id="1216966392">
              <w:marLeft w:val="0"/>
              <w:marRight w:val="0"/>
              <w:marTop w:val="0"/>
              <w:marBottom w:val="0"/>
              <w:divBdr>
                <w:top w:val="none" w:sz="0" w:space="0" w:color="auto"/>
                <w:left w:val="none" w:sz="0" w:space="0" w:color="auto"/>
                <w:bottom w:val="none" w:sz="0" w:space="0" w:color="auto"/>
                <w:right w:val="none" w:sz="0" w:space="0" w:color="auto"/>
              </w:divBdr>
            </w:div>
            <w:div w:id="997534227">
              <w:marLeft w:val="0"/>
              <w:marRight w:val="0"/>
              <w:marTop w:val="0"/>
              <w:marBottom w:val="0"/>
              <w:divBdr>
                <w:top w:val="none" w:sz="0" w:space="0" w:color="auto"/>
                <w:left w:val="none" w:sz="0" w:space="0" w:color="auto"/>
                <w:bottom w:val="none" w:sz="0" w:space="0" w:color="auto"/>
                <w:right w:val="none" w:sz="0" w:space="0" w:color="auto"/>
              </w:divBdr>
            </w:div>
            <w:div w:id="889338256">
              <w:marLeft w:val="0"/>
              <w:marRight w:val="0"/>
              <w:marTop w:val="0"/>
              <w:marBottom w:val="0"/>
              <w:divBdr>
                <w:top w:val="none" w:sz="0" w:space="0" w:color="auto"/>
                <w:left w:val="none" w:sz="0" w:space="0" w:color="auto"/>
                <w:bottom w:val="none" w:sz="0" w:space="0" w:color="auto"/>
                <w:right w:val="none" w:sz="0" w:space="0" w:color="auto"/>
              </w:divBdr>
            </w:div>
          </w:divsChild>
        </w:div>
        <w:div w:id="37781047">
          <w:marLeft w:val="0"/>
          <w:marRight w:val="0"/>
          <w:marTop w:val="0"/>
          <w:marBottom w:val="0"/>
          <w:divBdr>
            <w:top w:val="none" w:sz="0" w:space="0" w:color="auto"/>
            <w:left w:val="none" w:sz="0" w:space="0" w:color="auto"/>
            <w:bottom w:val="none" w:sz="0" w:space="0" w:color="auto"/>
            <w:right w:val="none" w:sz="0" w:space="0" w:color="auto"/>
          </w:divBdr>
          <w:divsChild>
            <w:div w:id="1052728510">
              <w:marLeft w:val="0"/>
              <w:marRight w:val="0"/>
              <w:marTop w:val="0"/>
              <w:marBottom w:val="0"/>
              <w:divBdr>
                <w:top w:val="none" w:sz="0" w:space="0" w:color="auto"/>
                <w:left w:val="none" w:sz="0" w:space="0" w:color="auto"/>
                <w:bottom w:val="none" w:sz="0" w:space="0" w:color="auto"/>
                <w:right w:val="none" w:sz="0" w:space="0" w:color="auto"/>
              </w:divBdr>
            </w:div>
            <w:div w:id="20250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247">
      <w:bodyDiv w:val="1"/>
      <w:marLeft w:val="0"/>
      <w:marRight w:val="0"/>
      <w:marTop w:val="0"/>
      <w:marBottom w:val="0"/>
      <w:divBdr>
        <w:top w:val="none" w:sz="0" w:space="0" w:color="auto"/>
        <w:left w:val="none" w:sz="0" w:space="0" w:color="auto"/>
        <w:bottom w:val="none" w:sz="0" w:space="0" w:color="auto"/>
        <w:right w:val="none" w:sz="0" w:space="0" w:color="auto"/>
      </w:divBdr>
      <w:divsChild>
        <w:div w:id="1982072676">
          <w:marLeft w:val="0"/>
          <w:marRight w:val="0"/>
          <w:marTop w:val="0"/>
          <w:marBottom w:val="0"/>
          <w:divBdr>
            <w:top w:val="none" w:sz="0" w:space="0" w:color="auto"/>
            <w:left w:val="none" w:sz="0" w:space="0" w:color="auto"/>
            <w:bottom w:val="none" w:sz="0" w:space="0" w:color="auto"/>
            <w:right w:val="none" w:sz="0" w:space="0" w:color="auto"/>
          </w:divBdr>
        </w:div>
        <w:div w:id="526916827">
          <w:marLeft w:val="0"/>
          <w:marRight w:val="0"/>
          <w:marTop w:val="0"/>
          <w:marBottom w:val="0"/>
          <w:divBdr>
            <w:top w:val="none" w:sz="0" w:space="0" w:color="auto"/>
            <w:left w:val="none" w:sz="0" w:space="0" w:color="auto"/>
            <w:bottom w:val="none" w:sz="0" w:space="0" w:color="auto"/>
            <w:right w:val="none" w:sz="0" w:space="0" w:color="auto"/>
          </w:divBdr>
          <w:divsChild>
            <w:div w:id="325129194">
              <w:marLeft w:val="0"/>
              <w:marRight w:val="0"/>
              <w:marTop w:val="0"/>
              <w:marBottom w:val="0"/>
              <w:divBdr>
                <w:top w:val="none" w:sz="0" w:space="0" w:color="auto"/>
                <w:left w:val="none" w:sz="0" w:space="0" w:color="auto"/>
                <w:bottom w:val="none" w:sz="0" w:space="0" w:color="auto"/>
                <w:right w:val="none" w:sz="0" w:space="0" w:color="auto"/>
              </w:divBdr>
            </w:div>
            <w:div w:id="832649791">
              <w:marLeft w:val="0"/>
              <w:marRight w:val="0"/>
              <w:marTop w:val="0"/>
              <w:marBottom w:val="0"/>
              <w:divBdr>
                <w:top w:val="none" w:sz="0" w:space="0" w:color="auto"/>
                <w:left w:val="none" w:sz="0" w:space="0" w:color="auto"/>
                <w:bottom w:val="none" w:sz="0" w:space="0" w:color="auto"/>
                <w:right w:val="none" w:sz="0" w:space="0" w:color="auto"/>
              </w:divBdr>
              <w:divsChild>
                <w:div w:id="28145902">
                  <w:marLeft w:val="0"/>
                  <w:marRight w:val="0"/>
                  <w:marTop w:val="0"/>
                  <w:marBottom w:val="0"/>
                  <w:divBdr>
                    <w:top w:val="none" w:sz="0" w:space="0" w:color="auto"/>
                    <w:left w:val="none" w:sz="0" w:space="0" w:color="auto"/>
                    <w:bottom w:val="none" w:sz="0" w:space="0" w:color="auto"/>
                    <w:right w:val="none" w:sz="0" w:space="0" w:color="auto"/>
                  </w:divBdr>
                </w:div>
                <w:div w:id="197813257">
                  <w:marLeft w:val="0"/>
                  <w:marRight w:val="0"/>
                  <w:marTop w:val="0"/>
                  <w:marBottom w:val="0"/>
                  <w:divBdr>
                    <w:top w:val="none" w:sz="0" w:space="0" w:color="auto"/>
                    <w:left w:val="none" w:sz="0" w:space="0" w:color="auto"/>
                    <w:bottom w:val="none" w:sz="0" w:space="0" w:color="auto"/>
                    <w:right w:val="none" w:sz="0" w:space="0" w:color="auto"/>
                  </w:divBdr>
                  <w:divsChild>
                    <w:div w:id="1981185470">
                      <w:marLeft w:val="0"/>
                      <w:marRight w:val="0"/>
                      <w:marTop w:val="0"/>
                      <w:marBottom w:val="0"/>
                      <w:divBdr>
                        <w:top w:val="none" w:sz="0" w:space="0" w:color="auto"/>
                        <w:left w:val="none" w:sz="0" w:space="0" w:color="auto"/>
                        <w:bottom w:val="none" w:sz="0" w:space="0" w:color="auto"/>
                        <w:right w:val="none" w:sz="0" w:space="0" w:color="auto"/>
                      </w:divBdr>
                    </w:div>
                    <w:div w:id="539898233">
                      <w:marLeft w:val="0"/>
                      <w:marRight w:val="0"/>
                      <w:marTop w:val="0"/>
                      <w:marBottom w:val="0"/>
                      <w:divBdr>
                        <w:top w:val="none" w:sz="0" w:space="0" w:color="auto"/>
                        <w:left w:val="none" w:sz="0" w:space="0" w:color="auto"/>
                        <w:bottom w:val="none" w:sz="0" w:space="0" w:color="auto"/>
                        <w:right w:val="none" w:sz="0" w:space="0" w:color="auto"/>
                      </w:divBdr>
                    </w:div>
                  </w:divsChild>
                </w:div>
                <w:div w:id="1359352971">
                  <w:marLeft w:val="0"/>
                  <w:marRight w:val="0"/>
                  <w:marTop w:val="0"/>
                  <w:marBottom w:val="0"/>
                  <w:divBdr>
                    <w:top w:val="none" w:sz="0" w:space="0" w:color="auto"/>
                    <w:left w:val="none" w:sz="0" w:space="0" w:color="auto"/>
                    <w:bottom w:val="none" w:sz="0" w:space="0" w:color="auto"/>
                    <w:right w:val="none" w:sz="0" w:space="0" w:color="auto"/>
                  </w:divBdr>
                </w:div>
                <w:div w:id="862593922">
                  <w:marLeft w:val="0"/>
                  <w:marRight w:val="0"/>
                  <w:marTop w:val="0"/>
                  <w:marBottom w:val="0"/>
                  <w:divBdr>
                    <w:top w:val="none" w:sz="0" w:space="0" w:color="auto"/>
                    <w:left w:val="none" w:sz="0" w:space="0" w:color="auto"/>
                    <w:bottom w:val="none" w:sz="0" w:space="0" w:color="auto"/>
                    <w:right w:val="none" w:sz="0" w:space="0" w:color="auto"/>
                  </w:divBdr>
                </w:div>
              </w:divsChild>
            </w:div>
            <w:div w:id="1712881424">
              <w:marLeft w:val="0"/>
              <w:marRight w:val="0"/>
              <w:marTop w:val="0"/>
              <w:marBottom w:val="0"/>
              <w:divBdr>
                <w:top w:val="none" w:sz="0" w:space="0" w:color="auto"/>
                <w:left w:val="none" w:sz="0" w:space="0" w:color="auto"/>
                <w:bottom w:val="none" w:sz="0" w:space="0" w:color="auto"/>
                <w:right w:val="none" w:sz="0" w:space="0" w:color="auto"/>
              </w:divBdr>
              <w:divsChild>
                <w:div w:id="564293244">
                  <w:marLeft w:val="0"/>
                  <w:marRight w:val="0"/>
                  <w:marTop w:val="0"/>
                  <w:marBottom w:val="0"/>
                  <w:divBdr>
                    <w:top w:val="none" w:sz="0" w:space="0" w:color="auto"/>
                    <w:left w:val="none" w:sz="0" w:space="0" w:color="auto"/>
                    <w:bottom w:val="none" w:sz="0" w:space="0" w:color="auto"/>
                    <w:right w:val="none" w:sz="0" w:space="0" w:color="auto"/>
                  </w:divBdr>
                </w:div>
                <w:div w:id="636106000">
                  <w:marLeft w:val="0"/>
                  <w:marRight w:val="0"/>
                  <w:marTop w:val="0"/>
                  <w:marBottom w:val="0"/>
                  <w:divBdr>
                    <w:top w:val="none" w:sz="0" w:space="0" w:color="auto"/>
                    <w:left w:val="none" w:sz="0" w:space="0" w:color="auto"/>
                    <w:bottom w:val="none" w:sz="0" w:space="0" w:color="auto"/>
                    <w:right w:val="none" w:sz="0" w:space="0" w:color="auto"/>
                  </w:divBdr>
                </w:div>
                <w:div w:id="1285311736">
                  <w:marLeft w:val="0"/>
                  <w:marRight w:val="0"/>
                  <w:marTop w:val="0"/>
                  <w:marBottom w:val="0"/>
                  <w:divBdr>
                    <w:top w:val="none" w:sz="0" w:space="0" w:color="auto"/>
                    <w:left w:val="none" w:sz="0" w:space="0" w:color="auto"/>
                    <w:bottom w:val="none" w:sz="0" w:space="0" w:color="auto"/>
                    <w:right w:val="none" w:sz="0" w:space="0" w:color="auto"/>
                  </w:divBdr>
                </w:div>
              </w:divsChild>
            </w:div>
            <w:div w:id="1177043009">
              <w:marLeft w:val="0"/>
              <w:marRight w:val="0"/>
              <w:marTop w:val="0"/>
              <w:marBottom w:val="0"/>
              <w:divBdr>
                <w:top w:val="none" w:sz="0" w:space="0" w:color="auto"/>
                <w:left w:val="none" w:sz="0" w:space="0" w:color="auto"/>
                <w:bottom w:val="none" w:sz="0" w:space="0" w:color="auto"/>
                <w:right w:val="none" w:sz="0" w:space="0" w:color="auto"/>
              </w:divBdr>
            </w:div>
          </w:divsChild>
        </w:div>
        <w:div w:id="299772411">
          <w:marLeft w:val="0"/>
          <w:marRight w:val="0"/>
          <w:marTop w:val="0"/>
          <w:marBottom w:val="0"/>
          <w:divBdr>
            <w:top w:val="none" w:sz="0" w:space="0" w:color="auto"/>
            <w:left w:val="none" w:sz="0" w:space="0" w:color="auto"/>
            <w:bottom w:val="none" w:sz="0" w:space="0" w:color="auto"/>
            <w:right w:val="none" w:sz="0" w:space="0" w:color="auto"/>
          </w:divBdr>
        </w:div>
        <w:div w:id="64385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300-0399/0395/Sections/0395.104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amp;URL=0200-0299/0252/Sections/0252.3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0300-0399/0381/Sections/0381.00315.html" TargetMode="External"/><Relationship Id="rId11" Type="http://schemas.openxmlformats.org/officeDocument/2006/relationships/hyperlink" Target="http://www.leg.state.fl.us/Statutes/index.cfm?App_mode=Display_Statute&amp;Search_String=&amp;URL=0400-0499/0456/Sections/0456.001.html" TargetMode="External"/><Relationship Id="rId5" Type="http://schemas.openxmlformats.org/officeDocument/2006/relationships/hyperlink" Target="http://www.leg.state.fl.us/Statutes/index.cfm?App_mode=Display_Statute&amp;URL=0300-0399/0397/0397ContentsIndex.html&amp;StatuteYear=2018&amp;Title=-%3E2018-%3EChapter%20397" TargetMode="External"/><Relationship Id="rId10" Type="http://schemas.openxmlformats.org/officeDocument/2006/relationships/hyperlink" Target="http://www.leg.state.fl.us/Statutes/index.cfm?App_mode=Display_Statute&amp;Search_String=&amp;URL=0400-0499/0401/Sections/0401.45.html" TargetMode="External"/><Relationship Id="rId4" Type="http://schemas.openxmlformats.org/officeDocument/2006/relationships/hyperlink" Target="http://www.leg.state.fl.us/Statutes/index.cfm?App_mode=Display_Statute&amp;Search_String=&amp;URL=0100-0199/0119/Sections/0119.07.html" TargetMode="External"/><Relationship Id="rId9" Type="http://schemas.openxmlformats.org/officeDocument/2006/relationships/hyperlink" Target="http://www.leg.state.fl.us/Statutes/index.cfm?App_mode=Display_Statute&amp;Search_String=&amp;URL=0300-0399/0395/Sections/0395.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Homrich</dc:creator>
  <cp:keywords/>
  <dc:description/>
  <cp:lastModifiedBy>Kendall Iturrioz</cp:lastModifiedBy>
  <cp:revision>2</cp:revision>
  <cp:lastPrinted>2018-10-30T19:01:00Z</cp:lastPrinted>
  <dcterms:created xsi:type="dcterms:W3CDTF">2019-03-20T15:38:00Z</dcterms:created>
  <dcterms:modified xsi:type="dcterms:W3CDTF">2019-03-20T15:38:00Z</dcterms:modified>
</cp:coreProperties>
</file>